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24066"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Arial"/>
          <w:sz w:val="20"/>
          <w:szCs w:val="20"/>
          <w:lang w:val="en-US" w:eastAsia="en-US"/>
        </w:rPr>
      </w:pPr>
      <w:r w:rsidRPr="00811276">
        <w:rPr>
          <w:rFonts w:asciiTheme="minorHAnsi" w:eastAsiaTheme="minorEastAsia" w:hAnsiTheme="minorHAnsi" w:cs="Arial"/>
          <w:b/>
          <w:sz w:val="28"/>
          <w:szCs w:val="28"/>
          <w:u w:val="single"/>
          <w:lang w:val="en-US" w:eastAsia="en-US"/>
        </w:rPr>
        <w:t xml:space="preserve">RESEARCH ON HONEYBUSH: A SUMMARY &amp; EXTRA: </w:t>
      </w:r>
      <w:r w:rsidRPr="00811276">
        <w:rPr>
          <w:rFonts w:asciiTheme="minorHAnsi" w:eastAsiaTheme="minorEastAsia" w:hAnsiTheme="minorHAnsi" w:cs="Arial"/>
          <w:sz w:val="20"/>
          <w:szCs w:val="20"/>
          <w:lang w:val="en-US" w:eastAsia="en-US"/>
        </w:rPr>
        <w:t>(courtesy of D Mills)</w:t>
      </w:r>
    </w:p>
    <w:p w14:paraId="039D5E2D"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Honeybush is now one of the most studied traditional plants in South Africa. There is intense academic and government interest - predictions have it eventually achieving the same economic importance to South Africa as it's more pungent cousin, Rooibos - and this interest is driving ongoing research at various institutions - among them the University of the Western Cape (at the cutting edge, led by the reputed academic Dr. Quintin Johnson, and his colleague Prof. Richard Cowling), the University of Stellenbosch, the South African Medical Research Council, and the Agricultural Research Council. </w:t>
      </w:r>
    </w:p>
    <w:p w14:paraId="4732A503"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As would be expected, the first studies were botanical, followed by agricultural and pharmacological </w:t>
      </w:r>
      <w:proofErr w:type="spellStart"/>
      <w:r w:rsidRPr="00811276">
        <w:rPr>
          <w:rFonts w:asciiTheme="minorHAnsi" w:eastAsiaTheme="minorEastAsia" w:hAnsiTheme="minorHAnsi" w:cs="Arial"/>
          <w:sz w:val="22"/>
          <w:szCs w:val="22"/>
          <w:lang w:val="en-US" w:eastAsia="en-US"/>
        </w:rPr>
        <w:t>studies,and</w:t>
      </w:r>
      <w:proofErr w:type="spellEnd"/>
      <w:r w:rsidRPr="00811276">
        <w:rPr>
          <w:rFonts w:asciiTheme="minorHAnsi" w:eastAsiaTheme="minorEastAsia" w:hAnsiTheme="minorHAnsi" w:cs="Arial"/>
          <w:sz w:val="22"/>
          <w:szCs w:val="22"/>
          <w:lang w:val="en-US" w:eastAsia="en-US"/>
        </w:rPr>
        <w:t xml:space="preserve"> then </w:t>
      </w:r>
      <w:r w:rsidRPr="00811276">
        <w:rPr>
          <w:rFonts w:asciiTheme="minorHAnsi" w:eastAsiaTheme="minorEastAsia" w:hAnsiTheme="minorHAnsi" w:cs="Arial"/>
          <w:i/>
          <w:iCs/>
          <w:sz w:val="22"/>
          <w:szCs w:val="22"/>
          <w:lang w:val="en-US" w:eastAsia="en-US"/>
        </w:rPr>
        <w:t xml:space="preserve">in vitro </w:t>
      </w:r>
      <w:r w:rsidRPr="00811276">
        <w:rPr>
          <w:rFonts w:asciiTheme="minorHAnsi" w:eastAsiaTheme="minorEastAsia" w:hAnsiTheme="minorHAnsi" w:cs="Arial"/>
          <w:sz w:val="22"/>
          <w:szCs w:val="22"/>
          <w:lang w:val="en-US" w:eastAsia="en-US"/>
        </w:rPr>
        <w:t xml:space="preserve">studies. Finally, </w:t>
      </w:r>
      <w:r w:rsidRPr="00811276">
        <w:rPr>
          <w:rFonts w:asciiTheme="minorHAnsi" w:eastAsiaTheme="minorEastAsia" w:hAnsiTheme="minorHAnsi" w:cs="Arial"/>
          <w:i/>
          <w:iCs/>
          <w:sz w:val="22"/>
          <w:szCs w:val="22"/>
          <w:lang w:val="en-US" w:eastAsia="en-US"/>
        </w:rPr>
        <w:t xml:space="preserve">in vivo </w:t>
      </w:r>
      <w:r w:rsidRPr="00811276">
        <w:rPr>
          <w:rFonts w:asciiTheme="minorHAnsi" w:eastAsiaTheme="minorEastAsia" w:hAnsiTheme="minorHAnsi" w:cs="Arial"/>
          <w:sz w:val="22"/>
          <w:szCs w:val="22"/>
          <w:lang w:val="en-US" w:eastAsia="en-US"/>
        </w:rPr>
        <w:t xml:space="preserve">research followed. Human studies, the pinnacle of all research, are next. . </w:t>
      </w:r>
    </w:p>
    <w:p w14:paraId="7CF1348F"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Let's look at some of these: </w:t>
      </w:r>
    </w:p>
    <w:p w14:paraId="4C7A554C"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Among the first was a 2007 Tufts University study, which confirmed the potent antioxidant, immune-modulating and </w:t>
      </w:r>
      <w:proofErr w:type="spellStart"/>
      <w:r w:rsidRPr="00811276">
        <w:rPr>
          <w:rFonts w:asciiTheme="minorHAnsi" w:eastAsiaTheme="minorEastAsia" w:hAnsiTheme="minorHAnsi" w:cs="Arial"/>
          <w:sz w:val="22"/>
          <w:szCs w:val="22"/>
          <w:lang w:val="en-US" w:eastAsia="en-US"/>
        </w:rPr>
        <w:t>chemopreventive</w:t>
      </w:r>
      <w:proofErr w:type="spellEnd"/>
      <w:r w:rsidRPr="00811276">
        <w:rPr>
          <w:rFonts w:asciiTheme="minorHAnsi" w:eastAsiaTheme="minorEastAsia" w:hAnsiTheme="minorHAnsi" w:cs="Arial"/>
          <w:sz w:val="22"/>
          <w:szCs w:val="22"/>
          <w:lang w:val="en-US" w:eastAsia="en-US"/>
        </w:rPr>
        <w:t xml:space="preserve"> actions of both Honeybush and Rooibos. </w:t>
      </w:r>
      <w:r w:rsidRPr="00811276">
        <w:rPr>
          <w:rFonts w:asciiTheme="minorHAnsi" w:eastAsiaTheme="minorEastAsia" w:hAnsiTheme="minorHAnsi" w:cs="Arial"/>
          <w:color w:val="0F54CC"/>
          <w:sz w:val="22"/>
          <w:szCs w:val="22"/>
          <w:lang w:val="en-US" w:eastAsia="en-US"/>
        </w:rPr>
        <w:t xml:space="preserve">http://www.ncbi.nlm.nih.gov/pubmed/16927447 </w:t>
      </w:r>
    </w:p>
    <w:p w14:paraId="0C272E7D"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This confirmed the findings of a much earlier 2000 South African Medical Research Council study, replicated in 2006, which both suggested that Honeybush and Rooibos might be beneficial in the fight against cancer. </w:t>
      </w:r>
      <w:r w:rsidRPr="00811276">
        <w:rPr>
          <w:rFonts w:asciiTheme="minorHAnsi" w:eastAsiaTheme="minorEastAsia" w:hAnsiTheme="minorHAnsi" w:cs="Arial"/>
          <w:color w:val="0F54CC"/>
          <w:sz w:val="22"/>
          <w:szCs w:val="22"/>
          <w:lang w:val="en-US" w:eastAsia="en-US"/>
        </w:rPr>
        <w:t xml:space="preserve">http://www.ncbi.nlm.nih.gov/pubmed/16949333 http://www.ncbi.nlm.nih.gov/pubmed/11080671 </w:t>
      </w:r>
    </w:p>
    <w:p w14:paraId="562F17C6"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In 2007 a University of Stellenbosch study, published in the Journal of Agricultural and Food Chemistry, documented the phytoestrogenic effect of Honeybush for the first time </w:t>
      </w:r>
      <w:r w:rsidRPr="00811276">
        <w:rPr>
          <w:rFonts w:asciiTheme="minorHAnsi" w:eastAsiaTheme="minorEastAsia" w:hAnsiTheme="minorHAnsi" w:cs="Arial"/>
          <w:color w:val="0F54CC"/>
          <w:sz w:val="22"/>
          <w:szCs w:val="22"/>
          <w:lang w:val="en-US" w:eastAsia="en-US"/>
        </w:rPr>
        <w:t xml:space="preserve">http://www.ncbi.nlm.nih.gov/pubmed/17461595 </w:t>
      </w:r>
    </w:p>
    <w:p w14:paraId="67AFE0C4"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This was replicated in 2013, in a similar article published in the Journal of Planta Med </w:t>
      </w:r>
      <w:r w:rsidRPr="00811276">
        <w:rPr>
          <w:rFonts w:asciiTheme="minorHAnsi" w:eastAsiaTheme="minorEastAsia" w:hAnsiTheme="minorHAnsi" w:cs="Arial"/>
          <w:color w:val="0F54CC"/>
          <w:sz w:val="22"/>
          <w:szCs w:val="22"/>
          <w:lang w:val="en-US" w:eastAsia="en-US"/>
        </w:rPr>
        <w:t xml:space="preserve">http://www.ncbi.nlm.nih.gov/pubmed/23609108 </w:t>
      </w:r>
    </w:p>
    <w:p w14:paraId="614EB73D"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The photoprotective effect of Honeybush was demonstrated for the first time in a 2011 study at the Oxidative Stress Research Centre at the Cape Peninsula University of Technology </w:t>
      </w:r>
      <w:r w:rsidRPr="00811276">
        <w:rPr>
          <w:rFonts w:asciiTheme="minorHAnsi" w:eastAsiaTheme="minorEastAsia" w:hAnsiTheme="minorHAnsi" w:cs="Arial"/>
          <w:color w:val="0F54CC"/>
          <w:sz w:val="22"/>
          <w:szCs w:val="22"/>
          <w:lang w:val="en-US" w:eastAsia="en-US"/>
        </w:rPr>
        <w:t xml:space="preserve">http://www.ncbi.nlm.nih.gov/pubmed/21435898 </w:t>
      </w:r>
    </w:p>
    <w:p w14:paraId="23D8788D"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Then, in early 2013 an elegant study by the Diabetic Discovery Platform at the Medical Research Council, demonstrated the beneficial effects of Honeybush on Sugars and Lipids </w:t>
      </w:r>
      <w:r w:rsidRPr="00811276">
        <w:rPr>
          <w:rFonts w:asciiTheme="minorHAnsi" w:eastAsiaTheme="minorEastAsia" w:hAnsiTheme="minorHAnsi" w:cs="Arial"/>
          <w:color w:val="0F54CC"/>
          <w:sz w:val="22"/>
          <w:szCs w:val="22"/>
          <w:lang w:val="en-US" w:eastAsia="en-US"/>
        </w:rPr>
        <w:t xml:space="preserve">http://www.researchgate.net/publication/221921695 </w:t>
      </w:r>
    </w:p>
    <w:p w14:paraId="42958773"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t xml:space="preserve">(This study documented for the first time the actual morphological improvements which occurred in the Pancreas of those animals who were fed Honeybush, in addition to their regular diets). </w:t>
      </w:r>
    </w:p>
    <w:p w14:paraId="7D7A1287"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sz w:val="22"/>
          <w:szCs w:val="22"/>
          <w:lang w:val="en-US" w:eastAsia="en-US"/>
        </w:rPr>
        <w:lastRenderedPageBreak/>
        <w:t xml:space="preserve">Finally, to great excitement, two studies towards the end of last year showed clear beneficial effects of Honeybush on fat metabolism - both in preventing the formation of new fat cells, and in causing fat cells to </w:t>
      </w:r>
      <w:proofErr w:type="spellStart"/>
      <w:r w:rsidRPr="00811276">
        <w:rPr>
          <w:rFonts w:asciiTheme="minorHAnsi" w:eastAsiaTheme="minorEastAsia" w:hAnsiTheme="minorHAnsi" w:cs="Arial"/>
          <w:sz w:val="22"/>
          <w:szCs w:val="22"/>
          <w:lang w:val="en-US" w:eastAsia="en-US"/>
        </w:rPr>
        <w:t>self destruct</w:t>
      </w:r>
      <w:proofErr w:type="spellEnd"/>
      <w:r w:rsidRPr="00811276">
        <w:rPr>
          <w:rFonts w:asciiTheme="minorHAnsi" w:eastAsiaTheme="minorEastAsia" w:hAnsiTheme="minorHAnsi" w:cs="Arial"/>
          <w:sz w:val="22"/>
          <w:szCs w:val="22"/>
          <w:lang w:val="en-US" w:eastAsia="en-US"/>
        </w:rPr>
        <w:t xml:space="preserve"> </w:t>
      </w:r>
    </w:p>
    <w:p w14:paraId="4F25B762" w14:textId="77777777" w:rsidR="00811276" w:rsidRPr="00811276" w:rsidRDefault="00811276" w:rsidP="00811276">
      <w:pPr>
        <w:shd w:val="clear" w:color="auto" w:fill="FFFFFF"/>
        <w:spacing w:before="100" w:beforeAutospacing="1" w:after="100" w:afterAutospacing="1"/>
        <w:rPr>
          <w:rFonts w:asciiTheme="minorHAnsi" w:eastAsiaTheme="minorEastAsia" w:hAnsiTheme="minorHAnsi" w:cs="Times New Roman"/>
          <w:sz w:val="20"/>
          <w:szCs w:val="20"/>
          <w:lang w:val="en-US" w:eastAsia="en-US"/>
        </w:rPr>
      </w:pPr>
      <w:r w:rsidRPr="00811276">
        <w:rPr>
          <w:rFonts w:asciiTheme="minorHAnsi" w:eastAsiaTheme="minorEastAsia" w:hAnsiTheme="minorHAnsi" w:cs="Arial"/>
          <w:color w:val="0F54CC"/>
          <w:sz w:val="22"/>
          <w:szCs w:val="22"/>
          <w:lang w:val="en-US" w:eastAsia="en-US"/>
        </w:rPr>
        <w:t xml:space="preserve">http://www.ncbi.nlm.nih.gov/pubmed/23428403 http://www.ncbi.nlm.nih.gov/pubmed/23880330 </w:t>
      </w:r>
    </w:p>
    <w:p w14:paraId="74F90BA1" w14:textId="77777777" w:rsidR="00811276" w:rsidRPr="00811276" w:rsidRDefault="00811276" w:rsidP="00811276">
      <w:pPr>
        <w:spacing w:after="200" w:line="276" w:lineRule="auto"/>
        <w:rPr>
          <w:rFonts w:asciiTheme="minorHAnsi" w:eastAsiaTheme="minorHAnsi" w:hAnsiTheme="minorHAnsi" w:cstheme="minorBidi"/>
          <w:sz w:val="22"/>
          <w:szCs w:val="22"/>
          <w:lang w:eastAsia="en-US"/>
        </w:rPr>
      </w:pPr>
      <w:r w:rsidRPr="00811276">
        <w:rPr>
          <w:rFonts w:asciiTheme="minorHAnsi" w:eastAsiaTheme="minorHAnsi" w:hAnsiTheme="minorHAnsi" w:cstheme="minorBidi"/>
          <w:sz w:val="22"/>
          <w:szCs w:val="22"/>
          <w:lang w:eastAsia="en-US"/>
        </w:rPr>
        <w:t xml:space="preserve">EXTRA: </w:t>
      </w:r>
    </w:p>
    <w:p w14:paraId="1140284F" w14:textId="77777777" w:rsidR="00811276" w:rsidRPr="00811276" w:rsidRDefault="00811276" w:rsidP="00811276">
      <w:pPr>
        <w:spacing w:after="200" w:line="276" w:lineRule="auto"/>
        <w:rPr>
          <w:rFonts w:asciiTheme="minorHAnsi" w:eastAsiaTheme="minorHAnsi" w:hAnsiTheme="minorHAnsi" w:cstheme="minorBidi"/>
          <w:sz w:val="22"/>
          <w:szCs w:val="22"/>
          <w:lang w:eastAsia="en-US"/>
        </w:rPr>
      </w:pPr>
    </w:p>
    <w:p w14:paraId="65572C40" w14:textId="77777777" w:rsidR="00811276" w:rsidRPr="00811276" w:rsidRDefault="00811276" w:rsidP="00811276">
      <w:pPr>
        <w:spacing w:before="100" w:beforeAutospacing="1" w:after="100" w:afterAutospacing="1" w:line="276" w:lineRule="auto"/>
        <w:outlineLvl w:val="1"/>
        <w:rPr>
          <w:rFonts w:asciiTheme="minorHAnsi" w:eastAsia="Times New Roman" w:hAnsiTheme="minorHAnsi" w:cs="Times New Roman"/>
          <w:b/>
          <w:bCs/>
          <w:sz w:val="28"/>
          <w:szCs w:val="28"/>
          <w:lang w:eastAsia="en-US"/>
        </w:rPr>
      </w:pPr>
      <w:bookmarkStart w:id="0" w:name="health"/>
      <w:r w:rsidRPr="00811276">
        <w:rPr>
          <w:rFonts w:asciiTheme="minorHAnsi" w:eastAsia="Times New Roman" w:hAnsiTheme="minorHAnsi" w:cs="Times New Roman"/>
          <w:b/>
          <w:bCs/>
          <w:sz w:val="28"/>
          <w:szCs w:val="28"/>
          <w:lang w:eastAsia="en-US"/>
        </w:rPr>
        <w:t>Health Effects</w:t>
      </w:r>
      <w:bookmarkEnd w:id="0"/>
    </w:p>
    <w:p w14:paraId="5C496D03"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Honeybush tea is an herbal infusion and many health properties are associated with the regular consumption of the tea. It has very low tannin content and contains no caffeine. It is therefore especially valuable for children and patients with digestive and heart problems where stimulants and tannins should be avoided.</w:t>
      </w:r>
    </w:p>
    <w:p w14:paraId="07E7FD29"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bookmarkStart w:id="1" w:name="nutri"/>
      <w:r w:rsidRPr="00811276">
        <w:rPr>
          <w:rFonts w:asciiTheme="minorHAnsi" w:eastAsiaTheme="minorHAnsi" w:hAnsiTheme="minorHAnsi" w:cs="Times New Roman"/>
          <w:b/>
          <w:bCs/>
          <w:sz w:val="22"/>
          <w:szCs w:val="22"/>
          <w:lang w:eastAsia="en-US"/>
        </w:rPr>
        <w:t>Nutritional Information</w:t>
      </w:r>
      <w:bookmarkEnd w:id="1"/>
    </w:p>
    <w:tbl>
      <w:tblPr>
        <w:tblpPr w:leftFromText="180" w:rightFromText="180" w:vertAnchor="text" w:horzAnchor="margin" w:tblpXSpec="center" w:tblpY="378"/>
        <w:tblW w:w="11060" w:type="dxa"/>
        <w:tblCellSpacing w:w="10" w:type="dxa"/>
        <w:tblCellMar>
          <w:top w:w="140" w:type="dxa"/>
          <w:left w:w="140" w:type="dxa"/>
          <w:bottom w:w="140" w:type="dxa"/>
          <w:right w:w="140" w:type="dxa"/>
        </w:tblCellMar>
        <w:tblLook w:val="04A0" w:firstRow="1" w:lastRow="0" w:firstColumn="1" w:lastColumn="0" w:noHBand="0" w:noVBand="1"/>
      </w:tblPr>
      <w:tblGrid>
        <w:gridCol w:w="2446"/>
        <w:gridCol w:w="6059"/>
        <w:gridCol w:w="2555"/>
      </w:tblGrid>
      <w:tr w:rsidR="00811276" w:rsidRPr="00811276" w14:paraId="5D855F14" w14:textId="77777777" w:rsidTr="003550CA">
        <w:trPr>
          <w:tblCellSpacing w:w="10" w:type="dxa"/>
        </w:trPr>
        <w:tc>
          <w:tcPr>
            <w:tcW w:w="1092" w:type="pct"/>
            <w:shd w:val="clear" w:color="auto" w:fill="FFFFFF"/>
            <w:hideMark/>
          </w:tcPr>
          <w:p w14:paraId="69E7C50A"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Nutrients</w:t>
            </w:r>
          </w:p>
        </w:tc>
        <w:tc>
          <w:tcPr>
            <w:tcW w:w="2730" w:type="pct"/>
            <w:shd w:val="clear" w:color="auto" w:fill="FFFFFF"/>
            <w:hideMark/>
          </w:tcPr>
          <w:p w14:paraId="7B7F04D8"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Function in Body</w:t>
            </w:r>
          </w:p>
        </w:tc>
        <w:tc>
          <w:tcPr>
            <w:tcW w:w="1142" w:type="pct"/>
            <w:shd w:val="clear" w:color="auto" w:fill="FFFFFF"/>
            <w:hideMark/>
          </w:tcPr>
          <w:p w14:paraId="52E9C81B"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Per 240 ml</w:t>
            </w:r>
          </w:p>
          <w:p w14:paraId="6DAE948A"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mg</w:t>
            </w:r>
          </w:p>
        </w:tc>
      </w:tr>
      <w:tr w:rsidR="00811276" w:rsidRPr="00811276" w14:paraId="1027AB7C" w14:textId="77777777" w:rsidTr="003550CA">
        <w:trPr>
          <w:tblCellSpacing w:w="10" w:type="dxa"/>
        </w:trPr>
        <w:tc>
          <w:tcPr>
            <w:tcW w:w="1092" w:type="pct"/>
            <w:hideMark/>
          </w:tcPr>
          <w:p w14:paraId="609D604D"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Iron (Fe)</w:t>
            </w:r>
          </w:p>
        </w:tc>
        <w:tc>
          <w:tcPr>
            <w:tcW w:w="2730" w:type="pct"/>
            <w:hideMark/>
          </w:tcPr>
          <w:p w14:paraId="1084423E"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Essential for transport of oxygen in the blood</w:t>
            </w:r>
          </w:p>
        </w:tc>
        <w:tc>
          <w:tcPr>
            <w:tcW w:w="1142" w:type="pct"/>
            <w:hideMark/>
          </w:tcPr>
          <w:p w14:paraId="3CEDF6F3"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0,3 mg</w:t>
            </w:r>
          </w:p>
        </w:tc>
      </w:tr>
      <w:tr w:rsidR="00811276" w:rsidRPr="00811276" w14:paraId="2232E451" w14:textId="77777777" w:rsidTr="003550CA">
        <w:trPr>
          <w:tblCellSpacing w:w="10" w:type="dxa"/>
        </w:trPr>
        <w:tc>
          <w:tcPr>
            <w:tcW w:w="1092" w:type="pct"/>
            <w:hideMark/>
          </w:tcPr>
          <w:p w14:paraId="5CEA7A67"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Potassium (K)</w:t>
            </w:r>
          </w:p>
        </w:tc>
        <w:tc>
          <w:tcPr>
            <w:tcW w:w="2730" w:type="pct"/>
            <w:hideMark/>
          </w:tcPr>
          <w:p w14:paraId="2A66B0C3"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metabolic processes</w:t>
            </w:r>
          </w:p>
        </w:tc>
        <w:tc>
          <w:tcPr>
            <w:tcW w:w="1142" w:type="pct"/>
            <w:hideMark/>
          </w:tcPr>
          <w:p w14:paraId="4097FF88"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0,01</w:t>
            </w:r>
          </w:p>
        </w:tc>
      </w:tr>
      <w:tr w:rsidR="00811276" w:rsidRPr="00811276" w14:paraId="6B8B3E05" w14:textId="77777777" w:rsidTr="003550CA">
        <w:trPr>
          <w:tblCellSpacing w:w="10" w:type="dxa"/>
        </w:trPr>
        <w:tc>
          <w:tcPr>
            <w:tcW w:w="1092" w:type="pct"/>
            <w:hideMark/>
          </w:tcPr>
          <w:p w14:paraId="156DBE16"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Calcium (Ca)</w:t>
            </w:r>
          </w:p>
        </w:tc>
        <w:tc>
          <w:tcPr>
            <w:tcW w:w="2730" w:type="pct"/>
            <w:hideMark/>
          </w:tcPr>
          <w:p w14:paraId="2E22107C"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strong teeth and bones</w:t>
            </w:r>
          </w:p>
        </w:tc>
        <w:tc>
          <w:tcPr>
            <w:tcW w:w="1142" w:type="pct"/>
            <w:hideMark/>
          </w:tcPr>
          <w:p w14:paraId="6BDF2B41"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0,01</w:t>
            </w:r>
          </w:p>
        </w:tc>
      </w:tr>
      <w:tr w:rsidR="00811276" w:rsidRPr="00811276" w14:paraId="641FD1B5" w14:textId="77777777" w:rsidTr="003550CA">
        <w:trPr>
          <w:tblCellSpacing w:w="10" w:type="dxa"/>
        </w:trPr>
        <w:tc>
          <w:tcPr>
            <w:tcW w:w="1092" w:type="pct"/>
            <w:hideMark/>
          </w:tcPr>
          <w:p w14:paraId="57D724C0"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Copper (Cu)</w:t>
            </w:r>
          </w:p>
        </w:tc>
        <w:tc>
          <w:tcPr>
            <w:tcW w:w="2730" w:type="pct"/>
            <w:hideMark/>
          </w:tcPr>
          <w:p w14:paraId="73A9B8FB"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different metabolic processes</w:t>
            </w:r>
          </w:p>
        </w:tc>
        <w:tc>
          <w:tcPr>
            <w:tcW w:w="1142" w:type="pct"/>
            <w:hideMark/>
          </w:tcPr>
          <w:p w14:paraId="512A7037"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0,003</w:t>
            </w:r>
          </w:p>
        </w:tc>
      </w:tr>
      <w:tr w:rsidR="00811276" w:rsidRPr="00811276" w14:paraId="25DAFBDA" w14:textId="77777777" w:rsidTr="003550CA">
        <w:trPr>
          <w:tblCellSpacing w:w="10" w:type="dxa"/>
        </w:trPr>
        <w:tc>
          <w:tcPr>
            <w:tcW w:w="1092" w:type="pct"/>
            <w:hideMark/>
          </w:tcPr>
          <w:p w14:paraId="33BD03E4"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Zinc (Zn)</w:t>
            </w:r>
          </w:p>
        </w:tc>
        <w:tc>
          <w:tcPr>
            <w:tcW w:w="2730" w:type="pct"/>
            <w:hideMark/>
          </w:tcPr>
          <w:p w14:paraId="754B1452"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normal growth and development and health skin</w:t>
            </w:r>
          </w:p>
        </w:tc>
        <w:tc>
          <w:tcPr>
            <w:tcW w:w="1142" w:type="pct"/>
            <w:hideMark/>
          </w:tcPr>
          <w:p w14:paraId="5C578D77"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0,015</w:t>
            </w:r>
          </w:p>
        </w:tc>
      </w:tr>
      <w:tr w:rsidR="00811276" w:rsidRPr="00811276" w14:paraId="2C891CCF" w14:textId="77777777" w:rsidTr="003550CA">
        <w:trPr>
          <w:tblCellSpacing w:w="10" w:type="dxa"/>
        </w:trPr>
        <w:tc>
          <w:tcPr>
            <w:tcW w:w="1092" w:type="pct"/>
            <w:hideMark/>
          </w:tcPr>
          <w:p w14:paraId="5CFCAA11"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Magnesium (Mg)</w:t>
            </w:r>
          </w:p>
        </w:tc>
        <w:tc>
          <w:tcPr>
            <w:tcW w:w="2730" w:type="pct"/>
            <w:hideMark/>
          </w:tcPr>
          <w:p w14:paraId="64154024"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healthy nervous system and for other metabolic processes</w:t>
            </w:r>
          </w:p>
        </w:tc>
        <w:tc>
          <w:tcPr>
            <w:tcW w:w="1142" w:type="pct"/>
            <w:hideMark/>
          </w:tcPr>
          <w:p w14:paraId="1E4A897C"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0,002</w:t>
            </w:r>
          </w:p>
        </w:tc>
      </w:tr>
      <w:tr w:rsidR="00811276" w:rsidRPr="00811276" w14:paraId="6C94E25E" w14:textId="77777777" w:rsidTr="003550CA">
        <w:trPr>
          <w:tblCellSpacing w:w="10" w:type="dxa"/>
        </w:trPr>
        <w:tc>
          <w:tcPr>
            <w:tcW w:w="1092" w:type="pct"/>
            <w:hideMark/>
          </w:tcPr>
          <w:p w14:paraId="232304F9"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Manganese (Mn)</w:t>
            </w:r>
          </w:p>
        </w:tc>
        <w:tc>
          <w:tcPr>
            <w:tcW w:w="2730" w:type="pct"/>
            <w:hideMark/>
          </w:tcPr>
          <w:p w14:paraId="11827AC9"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metabolic processes and for bone growth and development</w:t>
            </w:r>
          </w:p>
        </w:tc>
        <w:tc>
          <w:tcPr>
            <w:tcW w:w="1142" w:type="pct"/>
            <w:hideMark/>
          </w:tcPr>
          <w:p w14:paraId="55AD1895"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0,11</w:t>
            </w:r>
          </w:p>
        </w:tc>
      </w:tr>
      <w:tr w:rsidR="00811276" w:rsidRPr="00811276" w14:paraId="47CF483C" w14:textId="77777777" w:rsidTr="003550CA">
        <w:trPr>
          <w:tblCellSpacing w:w="10" w:type="dxa"/>
        </w:trPr>
        <w:tc>
          <w:tcPr>
            <w:tcW w:w="1092" w:type="pct"/>
            <w:hideMark/>
          </w:tcPr>
          <w:p w14:paraId="26BD32FA"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lastRenderedPageBreak/>
              <w:t>Sodium (Na)</w:t>
            </w:r>
          </w:p>
        </w:tc>
        <w:tc>
          <w:tcPr>
            <w:tcW w:w="2730" w:type="pct"/>
            <w:hideMark/>
          </w:tcPr>
          <w:p w14:paraId="435959FE"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Necessary for fluid and acid-base balance</w:t>
            </w:r>
          </w:p>
        </w:tc>
        <w:tc>
          <w:tcPr>
            <w:tcW w:w="1142" w:type="pct"/>
            <w:hideMark/>
          </w:tcPr>
          <w:p w14:paraId="55DE2F74" w14:textId="77777777" w:rsidR="00811276" w:rsidRPr="00811276" w:rsidRDefault="00811276" w:rsidP="00811276">
            <w:pPr>
              <w:spacing w:before="100" w:beforeAutospacing="1" w:after="100" w:afterAutospacing="1" w:line="276" w:lineRule="auto"/>
              <w:jc w:val="center"/>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1,5</w:t>
            </w:r>
          </w:p>
        </w:tc>
      </w:tr>
    </w:tbl>
    <w:p w14:paraId="7613107E" w14:textId="77777777" w:rsidR="00811276" w:rsidRPr="00811276" w:rsidRDefault="00811276" w:rsidP="00811276">
      <w:pPr>
        <w:spacing w:after="200"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noProof/>
          <w:color w:val="0000FF"/>
          <w:sz w:val="22"/>
          <w:szCs w:val="22"/>
        </w:rPr>
        <w:drawing>
          <wp:inline distT="0" distB="0" distL="0" distR="0" wp14:anchorId="7C6FEB1C" wp14:editId="6C9B9D23">
            <wp:extent cx="177800" cy="127000"/>
            <wp:effectExtent l="0" t="0" r="0" b="0"/>
            <wp:docPr id="4" name="Picture 4" descr="p!">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
                      <a:hlinkClick r:id="rId8" tgtFrame="&quot;_self&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 cy="127000"/>
                    </a:xfrm>
                    <a:prstGeom prst="rect">
                      <a:avLst/>
                    </a:prstGeom>
                    <a:noFill/>
                    <a:ln>
                      <a:noFill/>
                    </a:ln>
                  </pic:spPr>
                </pic:pic>
              </a:graphicData>
            </a:graphic>
          </wp:inline>
        </w:drawing>
      </w:r>
      <w:r w:rsidRPr="00811276">
        <w:rPr>
          <w:rFonts w:asciiTheme="minorHAnsi" w:eastAsia="Times New Roman" w:hAnsiTheme="minorHAnsi" w:cs="Times New Roman"/>
          <w:color w:val="0000FF"/>
          <w:sz w:val="22"/>
          <w:szCs w:val="22"/>
          <w:u w:val="single"/>
          <w:lang w:eastAsia="en-US"/>
        </w:rPr>
        <w:t>up</w:t>
      </w:r>
    </w:p>
    <w:p w14:paraId="546CA4CA"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Research by the Department of Chemistry of the University of the Orange Free State indicated those substantial amounts of (+)-pinitol is present in Honeybush tea. Pinitol is used as an expectorant (42) and has anti-diabetic activity (43).</w:t>
      </w:r>
    </w:p>
    <w:p w14:paraId="66FAAC54"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Honeybush tea processes numerous properties that enhance the health of people that use it:</w:t>
      </w:r>
    </w:p>
    <w:p w14:paraId="39B1EF47"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 xml:space="preserve">Isoflavones &amp; </w:t>
      </w:r>
      <w:proofErr w:type="spellStart"/>
      <w:r w:rsidRPr="00811276">
        <w:rPr>
          <w:rFonts w:asciiTheme="minorHAnsi" w:eastAsiaTheme="minorHAnsi" w:hAnsiTheme="minorHAnsi" w:cs="Times New Roman"/>
          <w:b/>
          <w:bCs/>
          <w:sz w:val="22"/>
          <w:szCs w:val="22"/>
          <w:lang w:eastAsia="en-US"/>
        </w:rPr>
        <w:t>Coumestans</w:t>
      </w:r>
      <w:proofErr w:type="spellEnd"/>
    </w:p>
    <w:p w14:paraId="7A354BAF"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The dietary </w:t>
      </w:r>
      <w:proofErr w:type="spellStart"/>
      <w:r w:rsidRPr="00811276">
        <w:rPr>
          <w:rFonts w:asciiTheme="minorHAnsi" w:eastAsiaTheme="minorHAnsi" w:hAnsiTheme="minorHAnsi" w:cs="Times New Roman"/>
          <w:sz w:val="22"/>
          <w:szCs w:val="22"/>
          <w:lang w:eastAsia="en-US"/>
        </w:rPr>
        <w:t>phyto</w:t>
      </w:r>
      <w:proofErr w:type="spellEnd"/>
      <w:r w:rsidRPr="00811276">
        <w:rPr>
          <w:rFonts w:asciiTheme="minorHAnsi" w:eastAsiaTheme="minorHAnsi" w:hAnsiTheme="minorHAnsi" w:cs="Times New Roman"/>
          <w:sz w:val="22"/>
          <w:szCs w:val="22"/>
          <w:lang w:eastAsia="en-US"/>
        </w:rPr>
        <w:t>-</w:t>
      </w:r>
      <w:proofErr w:type="spellStart"/>
      <w:r w:rsidRPr="00811276">
        <w:rPr>
          <w:rFonts w:asciiTheme="minorHAnsi" w:eastAsiaTheme="minorHAnsi" w:hAnsiTheme="minorHAnsi" w:cs="Times New Roman"/>
          <w:sz w:val="22"/>
          <w:szCs w:val="22"/>
          <w:lang w:eastAsia="en-US"/>
        </w:rPr>
        <w:t>estrogen</w:t>
      </w:r>
      <w:proofErr w:type="spellEnd"/>
      <w:r w:rsidRPr="00811276">
        <w:rPr>
          <w:rFonts w:asciiTheme="minorHAnsi" w:eastAsiaTheme="minorHAnsi" w:hAnsiTheme="minorHAnsi" w:cs="Times New Roman"/>
          <w:sz w:val="22"/>
          <w:szCs w:val="22"/>
          <w:lang w:eastAsia="en-US"/>
        </w:rPr>
        <w:t>-hormone-dependant process. This is advantageous for:</w:t>
      </w:r>
    </w:p>
    <w:p w14:paraId="69A5710F"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Regulation of menstruation cycles</w:t>
      </w:r>
    </w:p>
    <w:p w14:paraId="0AEF294A"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Prevention of breast, prostate and Uterus cancer</w:t>
      </w:r>
    </w:p>
    <w:p w14:paraId="140FB162"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 xml:space="preserve">Reduces the risk of </w:t>
      </w:r>
      <w:proofErr w:type="spellStart"/>
      <w:r w:rsidRPr="00811276">
        <w:rPr>
          <w:rFonts w:asciiTheme="minorHAnsi" w:eastAsia="Times New Roman" w:hAnsiTheme="minorHAnsi" w:cs="Times New Roman"/>
          <w:sz w:val="22"/>
          <w:szCs w:val="22"/>
          <w:lang w:eastAsia="en-US"/>
        </w:rPr>
        <w:t>Oesteoporosis</w:t>
      </w:r>
      <w:proofErr w:type="spellEnd"/>
    </w:p>
    <w:p w14:paraId="3914CA9A"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Anti-fungal properties</w:t>
      </w:r>
    </w:p>
    <w:p w14:paraId="6DAD5327"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Anti-virus properties</w:t>
      </w:r>
    </w:p>
    <w:p w14:paraId="2D5BFDE0"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Anticholesterolemic-lowers cholesterol levels</w:t>
      </w:r>
    </w:p>
    <w:p w14:paraId="3D2733D8"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Hypolipemic-lowers fat levels</w:t>
      </w:r>
    </w:p>
    <w:p w14:paraId="23FCCB86"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Anti-microbial</w:t>
      </w:r>
    </w:p>
    <w:p w14:paraId="3418964B" w14:textId="77777777" w:rsidR="00811276" w:rsidRPr="00811276" w:rsidRDefault="00811276" w:rsidP="00811276">
      <w:pPr>
        <w:numPr>
          <w:ilvl w:val="0"/>
          <w:numId w:val="1"/>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Anti-oxidant</w:t>
      </w:r>
    </w:p>
    <w:p w14:paraId="2E4A8115"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Specific Luteolin is anti-spasmodic and anti-oxidant. 4-Hydroxycinnomic acid is anti-fungus and Antihepatotoxic.</w:t>
      </w:r>
    </w:p>
    <w:p w14:paraId="7B46C131"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Xanthones</w:t>
      </w:r>
    </w:p>
    <w:p w14:paraId="646E6857"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Anti-inflammatory</w:t>
      </w:r>
    </w:p>
    <w:p w14:paraId="7AA5AF0A"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Anti-hepatotoxic – works against kidney poisoning</w:t>
      </w:r>
    </w:p>
    <w:p w14:paraId="4138FFE1"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Anti-virus</w:t>
      </w:r>
    </w:p>
    <w:p w14:paraId="42BD2E49"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w:t>
      </w:r>
      <w:proofErr w:type="spellStart"/>
      <w:r w:rsidRPr="00811276">
        <w:rPr>
          <w:rFonts w:asciiTheme="minorHAnsi" w:eastAsia="Times New Roman" w:hAnsiTheme="minorHAnsi" w:cs="Times New Roman"/>
          <w:sz w:val="22"/>
          <w:szCs w:val="22"/>
          <w:lang w:eastAsia="en-US"/>
        </w:rPr>
        <w:t>diarrhea</w:t>
      </w:r>
      <w:proofErr w:type="spellEnd"/>
    </w:p>
    <w:p w14:paraId="6EA56E4C"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Anti-fungus</w:t>
      </w:r>
    </w:p>
    <w:p w14:paraId="5B855A43"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Anti-oxidants</w:t>
      </w:r>
    </w:p>
    <w:p w14:paraId="25E49189" w14:textId="77777777" w:rsidR="00811276" w:rsidRPr="00811276" w:rsidRDefault="00811276" w:rsidP="00811276">
      <w:pPr>
        <w:numPr>
          <w:ilvl w:val="0"/>
          <w:numId w:val="2"/>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Anti-depressant</w:t>
      </w:r>
    </w:p>
    <w:p w14:paraId="4CAFFC67"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b/>
          <w:bCs/>
          <w:sz w:val="22"/>
          <w:szCs w:val="22"/>
          <w:lang w:eastAsia="en-US"/>
        </w:rPr>
        <w:t>Flavones</w:t>
      </w:r>
    </w:p>
    <w:p w14:paraId="1672C7C6"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 xml:space="preserve">Vitamin-type activity (mixture of </w:t>
      </w:r>
      <w:proofErr w:type="spellStart"/>
      <w:r w:rsidRPr="00811276">
        <w:rPr>
          <w:rFonts w:asciiTheme="minorHAnsi" w:eastAsia="Times New Roman" w:hAnsiTheme="minorHAnsi" w:cs="Times New Roman"/>
          <w:sz w:val="22"/>
          <w:szCs w:val="22"/>
          <w:lang w:eastAsia="en-US"/>
        </w:rPr>
        <w:t>eriodictyol</w:t>
      </w:r>
      <w:proofErr w:type="spellEnd"/>
      <w:r w:rsidRPr="00811276">
        <w:rPr>
          <w:rFonts w:asciiTheme="minorHAnsi" w:eastAsia="Times New Roman" w:hAnsiTheme="minorHAnsi" w:cs="Times New Roman"/>
          <w:sz w:val="22"/>
          <w:szCs w:val="22"/>
          <w:lang w:eastAsia="en-US"/>
        </w:rPr>
        <w:t xml:space="preserve"> and </w:t>
      </w:r>
      <w:proofErr w:type="spellStart"/>
      <w:r w:rsidRPr="00811276">
        <w:rPr>
          <w:rFonts w:asciiTheme="minorHAnsi" w:eastAsia="Times New Roman" w:hAnsiTheme="minorHAnsi" w:cs="Times New Roman"/>
          <w:sz w:val="22"/>
          <w:szCs w:val="22"/>
          <w:lang w:eastAsia="en-US"/>
        </w:rPr>
        <w:t>hesperidien</w:t>
      </w:r>
      <w:proofErr w:type="spellEnd"/>
      <w:r w:rsidRPr="00811276">
        <w:rPr>
          <w:rFonts w:asciiTheme="minorHAnsi" w:eastAsia="Times New Roman" w:hAnsiTheme="minorHAnsi" w:cs="Times New Roman"/>
          <w:sz w:val="22"/>
          <w:szCs w:val="22"/>
          <w:lang w:eastAsia="en-US"/>
        </w:rPr>
        <w:t>)</w:t>
      </w:r>
    </w:p>
    <w:p w14:paraId="4C66ADED"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lastRenderedPageBreak/>
        <w:t>Anti-oxidants</w:t>
      </w:r>
    </w:p>
    <w:p w14:paraId="1A2B4361"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Anti-microbial</w:t>
      </w:r>
    </w:p>
    <w:p w14:paraId="08C49165"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Anti-virus</w:t>
      </w:r>
    </w:p>
    <w:p w14:paraId="780A8929"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Anti-inflammatory</w:t>
      </w:r>
    </w:p>
    <w:p w14:paraId="473CCFF2"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Spasmolytic</w:t>
      </w:r>
    </w:p>
    <w:p w14:paraId="0302600B"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Diuretic (increases Urinating)</w:t>
      </w:r>
    </w:p>
    <w:p w14:paraId="0D2B3368" w14:textId="77777777" w:rsidR="00811276" w:rsidRPr="00811276" w:rsidRDefault="00811276" w:rsidP="00811276">
      <w:pPr>
        <w:numPr>
          <w:ilvl w:val="0"/>
          <w:numId w:val="3"/>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Times New Roman"/>
          <w:sz w:val="22"/>
          <w:szCs w:val="22"/>
          <w:lang w:eastAsia="en-US"/>
        </w:rPr>
        <w:t>Non-feeding sweeteners</w:t>
      </w:r>
    </w:p>
    <w:p w14:paraId="4D5FD31B"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Research on Honeybush tea has only started recently in the 90’s and already great progress was made on testing and researching the medicinal values of this tea. De Nysschen et al found 1995 three major phenolic compounds in honeybush tealeaves: a xanthone c-glycoside, </w:t>
      </w:r>
      <w:proofErr w:type="spellStart"/>
      <w:r w:rsidRPr="00811276">
        <w:rPr>
          <w:rFonts w:asciiTheme="minorHAnsi" w:eastAsiaTheme="minorHAnsi" w:hAnsiTheme="minorHAnsi" w:cs="Times New Roman"/>
          <w:sz w:val="22"/>
          <w:szCs w:val="22"/>
          <w:lang w:eastAsia="en-US"/>
        </w:rPr>
        <w:t>mangiferin</w:t>
      </w:r>
      <w:proofErr w:type="spellEnd"/>
      <w:r w:rsidRPr="00811276">
        <w:rPr>
          <w:rFonts w:asciiTheme="minorHAnsi" w:eastAsiaTheme="minorHAnsi" w:hAnsiTheme="minorHAnsi" w:cs="Times New Roman"/>
          <w:sz w:val="22"/>
          <w:szCs w:val="22"/>
          <w:lang w:eastAsia="en-US"/>
        </w:rPr>
        <w:t xml:space="preserve"> and O-glycosides of </w:t>
      </w:r>
      <w:proofErr w:type="spellStart"/>
      <w:r w:rsidRPr="00811276">
        <w:rPr>
          <w:rFonts w:asciiTheme="minorHAnsi" w:eastAsiaTheme="minorHAnsi" w:hAnsiTheme="minorHAnsi" w:cs="Times New Roman"/>
          <w:sz w:val="22"/>
          <w:szCs w:val="22"/>
          <w:lang w:eastAsia="en-US"/>
        </w:rPr>
        <w:t>hesperitin</w:t>
      </w:r>
      <w:proofErr w:type="spellEnd"/>
      <w:r w:rsidRPr="00811276">
        <w:rPr>
          <w:rFonts w:asciiTheme="minorHAnsi" w:eastAsiaTheme="minorHAnsi" w:hAnsiTheme="minorHAnsi" w:cs="Times New Roman"/>
          <w:sz w:val="22"/>
          <w:szCs w:val="22"/>
          <w:lang w:eastAsia="en-US"/>
        </w:rPr>
        <w:t xml:space="preserve"> and </w:t>
      </w:r>
      <w:proofErr w:type="spellStart"/>
      <w:r w:rsidRPr="00811276">
        <w:rPr>
          <w:rFonts w:asciiTheme="minorHAnsi" w:eastAsiaTheme="minorHAnsi" w:hAnsiTheme="minorHAnsi" w:cs="Times New Roman"/>
          <w:sz w:val="22"/>
          <w:szCs w:val="22"/>
          <w:lang w:eastAsia="en-US"/>
        </w:rPr>
        <w:t>isosakuranetin</w:t>
      </w:r>
      <w:proofErr w:type="spellEnd"/>
      <w:r w:rsidRPr="00811276">
        <w:rPr>
          <w:rFonts w:asciiTheme="minorHAnsi" w:eastAsiaTheme="minorHAnsi" w:hAnsiTheme="minorHAnsi" w:cs="Times New Roman"/>
          <w:sz w:val="22"/>
          <w:szCs w:val="22"/>
          <w:lang w:eastAsia="en-US"/>
        </w:rPr>
        <w:t>, two flavanones (39).</w:t>
      </w:r>
    </w:p>
    <w:p w14:paraId="703297BA"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Honeybush tea is normally consumed with milk and sugar, but to appreciate the delicate sweet taste and flavour, no milk or sugar should be added. Descriptions of the flavour vary from that of hot apricot jam, floral, honey-like and dried fruit mix with the overall impression of sweetness. The tea has the added advantage that the cold infusion can also be used as iced tea and that it blends well with fruit juices. Honeybush tea is prepared by boiling about 4-6 g of the dried material (approximately 2-3 tablespoonfuls) per </w:t>
      </w:r>
      <w:proofErr w:type="spellStart"/>
      <w:r w:rsidRPr="00811276">
        <w:rPr>
          <w:rFonts w:asciiTheme="minorHAnsi" w:eastAsiaTheme="minorHAnsi" w:hAnsiTheme="minorHAnsi" w:cs="Times New Roman"/>
          <w:sz w:val="22"/>
          <w:szCs w:val="22"/>
          <w:lang w:eastAsia="en-US"/>
        </w:rPr>
        <w:t>liter</w:t>
      </w:r>
      <w:proofErr w:type="spellEnd"/>
      <w:r w:rsidRPr="00811276">
        <w:rPr>
          <w:rFonts w:asciiTheme="minorHAnsi" w:eastAsiaTheme="minorHAnsi" w:hAnsiTheme="minorHAnsi" w:cs="Times New Roman"/>
          <w:sz w:val="22"/>
          <w:szCs w:val="22"/>
          <w:lang w:eastAsia="en-US"/>
        </w:rPr>
        <w:t xml:space="preserve"> for 20 minutes.</w:t>
      </w:r>
    </w:p>
    <w:p w14:paraId="5FF39ED3"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w:t>
      </w:r>
    </w:p>
    <w:p w14:paraId="2020DFFE"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w:t>
      </w:r>
    </w:p>
    <w:p w14:paraId="283DD6DC"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bookmarkStart w:id="2" w:name="ref"/>
      <w:r w:rsidRPr="00811276">
        <w:rPr>
          <w:rFonts w:asciiTheme="minorHAnsi" w:eastAsiaTheme="minorHAnsi" w:hAnsiTheme="minorHAnsi" w:cs="Arial"/>
          <w:b/>
          <w:bCs/>
          <w:sz w:val="22"/>
          <w:szCs w:val="22"/>
          <w:lang w:eastAsia="en-US"/>
        </w:rPr>
        <w:t>References:</w:t>
      </w:r>
      <w:bookmarkEnd w:id="2"/>
    </w:p>
    <w:p w14:paraId="6768899D" w14:textId="77777777" w:rsidR="00811276" w:rsidRPr="00811276" w:rsidRDefault="00811276" w:rsidP="00811276">
      <w:pPr>
        <w:numPr>
          <w:ilvl w:val="0"/>
          <w:numId w:val="4"/>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Rooibos Tea Board Annual Report 1993, Final report for the period ending 30. Sept. 1993, In: Government Publication South Africa 1990</w:t>
      </w:r>
    </w:p>
    <w:p w14:paraId="3074481E" w14:textId="77777777" w:rsidR="00811276" w:rsidRPr="00811276" w:rsidRDefault="00811276" w:rsidP="00811276">
      <w:pPr>
        <w:numPr>
          <w:ilvl w:val="0"/>
          <w:numId w:val="4"/>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Prof. Daneel Ferreira, Charlene Marais, Dr. Jacobus A. Steenkamp and Elisabeth Joubert: Rooibos Tea as a likely Health Food Supplement, In: Department of Chemistry, University of the Orange Free State, P.O. Box 339, Bloemfontein, 9300 South Africa or</w:t>
      </w:r>
      <w:r w:rsidRPr="00811276">
        <w:rPr>
          <w:rFonts w:asciiTheme="minorHAnsi" w:eastAsia="Times New Roman" w:hAnsiTheme="minorHAnsi" w:cs="Times New Roman"/>
          <w:sz w:val="22"/>
          <w:szCs w:val="22"/>
          <w:lang w:eastAsia="en-US"/>
        </w:rPr>
        <w:t xml:space="preserve"> </w:t>
      </w:r>
      <w:proofErr w:type="spellStart"/>
      <w:r w:rsidRPr="00811276">
        <w:rPr>
          <w:rFonts w:asciiTheme="minorHAnsi" w:eastAsia="Times New Roman" w:hAnsiTheme="minorHAnsi" w:cs="Arial"/>
          <w:sz w:val="22"/>
          <w:szCs w:val="22"/>
          <w:lang w:eastAsia="en-US"/>
        </w:rPr>
        <w:t>Infruitec</w:t>
      </w:r>
      <w:proofErr w:type="spellEnd"/>
      <w:r w:rsidRPr="00811276">
        <w:rPr>
          <w:rFonts w:asciiTheme="minorHAnsi" w:eastAsia="Times New Roman" w:hAnsiTheme="minorHAnsi" w:cs="Arial"/>
          <w:sz w:val="22"/>
          <w:szCs w:val="22"/>
          <w:lang w:eastAsia="en-US"/>
        </w:rPr>
        <w:t>, Private Bag X 5013, Stellenbosch, 7599 South Africa.</w:t>
      </w:r>
    </w:p>
    <w:p w14:paraId="77FF78F1"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The State Library, Periodical article : "Sweet aroma of Rooibos", Document Delivery, IN: Food Industries (1992), Vol. 45, Is. 11, p.25</w:t>
      </w:r>
    </w:p>
    <w:p w14:paraId="1ECFB1C9"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Infruitec</w:t>
      </w:r>
      <w:proofErr w:type="spellEnd"/>
      <w:r w:rsidRPr="00811276">
        <w:rPr>
          <w:rFonts w:asciiTheme="minorHAnsi" w:eastAsia="Times New Roman" w:hAnsiTheme="minorHAnsi" w:cs="Arial"/>
          <w:sz w:val="22"/>
          <w:szCs w:val="22"/>
          <w:lang w:eastAsia="en-US"/>
        </w:rPr>
        <w:t xml:space="preserve"> Stellenbosch, Department of Fruit Science, E. Joubert, Private Bag X5013, Stellenbosch, 7599, South Africa</w:t>
      </w:r>
    </w:p>
    <w:p w14:paraId="20E425CB"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Carlene Rabe, Jacobus A. Steenkamp, Elizabeth Joubert, Johann F.W. Burger and Daneel Ferreira : Phenolic Metabolites from Rooibos Tea (Aspalathus Linearis), Department of Chemistry, University of the Orange Free State, P.O. Box 339, Bloemfontein, 9300 South </w:t>
      </w:r>
      <w:r w:rsidRPr="00811276">
        <w:rPr>
          <w:rFonts w:asciiTheme="minorHAnsi" w:eastAsia="Times New Roman" w:hAnsiTheme="minorHAnsi" w:cs="Arial"/>
          <w:sz w:val="22"/>
          <w:szCs w:val="22"/>
          <w:lang w:eastAsia="en-US"/>
        </w:rPr>
        <w:lastRenderedPageBreak/>
        <w:t xml:space="preserve">Africa, </w:t>
      </w:r>
      <w:proofErr w:type="spellStart"/>
      <w:r w:rsidRPr="00811276">
        <w:rPr>
          <w:rFonts w:asciiTheme="minorHAnsi" w:eastAsia="Times New Roman" w:hAnsiTheme="minorHAnsi" w:cs="Arial"/>
          <w:sz w:val="22"/>
          <w:szCs w:val="22"/>
          <w:lang w:eastAsia="en-US"/>
        </w:rPr>
        <w:t>Infruitec</w:t>
      </w:r>
      <w:proofErr w:type="spellEnd"/>
      <w:r w:rsidRPr="00811276">
        <w:rPr>
          <w:rFonts w:asciiTheme="minorHAnsi" w:eastAsia="Times New Roman" w:hAnsiTheme="minorHAnsi" w:cs="Arial"/>
          <w:sz w:val="22"/>
          <w:szCs w:val="22"/>
          <w:lang w:eastAsia="en-US"/>
        </w:rPr>
        <w:t xml:space="preserve">, Private Bag X 5013, Stellenbosch, 7599 South Africa, In: Phytochemistry (1994), Vol. 35, No. 6, pp. 1559-1565 </w:t>
      </w:r>
    </w:p>
    <w:p w14:paraId="6B8A91F1"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E. Joubert, </w:t>
      </w:r>
      <w:proofErr w:type="spellStart"/>
      <w:r w:rsidRPr="00811276">
        <w:rPr>
          <w:rFonts w:asciiTheme="minorHAnsi" w:eastAsia="Times New Roman" w:hAnsiTheme="minorHAnsi" w:cs="Arial"/>
          <w:sz w:val="22"/>
          <w:szCs w:val="22"/>
          <w:lang w:eastAsia="en-US"/>
        </w:rPr>
        <w:t>D.Ferreira</w:t>
      </w:r>
      <w:proofErr w:type="spellEnd"/>
      <w:r w:rsidRPr="00811276">
        <w:rPr>
          <w:rFonts w:asciiTheme="minorHAnsi" w:eastAsia="Times New Roman" w:hAnsiTheme="minorHAnsi" w:cs="Arial"/>
          <w:sz w:val="22"/>
          <w:szCs w:val="22"/>
          <w:lang w:eastAsia="en-US"/>
        </w:rPr>
        <w:t>: Antioxidants of Rooibos tea – a possible explanation for its health promoting properties, In: The SA Journal of Food Science and Nutrition, Vol. 8, No.3, Sep. 1996, pp. 79-83</w:t>
      </w:r>
    </w:p>
    <w:p w14:paraId="3E0DC968"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M.G.L. Hertog, E.J.M </w:t>
      </w:r>
      <w:proofErr w:type="spellStart"/>
      <w:r w:rsidRPr="00811276">
        <w:rPr>
          <w:rFonts w:asciiTheme="minorHAnsi" w:eastAsia="Times New Roman" w:hAnsiTheme="minorHAnsi" w:cs="Arial"/>
          <w:sz w:val="22"/>
          <w:szCs w:val="22"/>
          <w:lang w:eastAsia="en-US"/>
        </w:rPr>
        <w:t>Feskens</w:t>
      </w:r>
      <w:proofErr w:type="spellEnd"/>
      <w:r w:rsidRPr="00811276">
        <w:rPr>
          <w:rFonts w:asciiTheme="minorHAnsi" w:eastAsia="Times New Roman" w:hAnsiTheme="minorHAnsi" w:cs="Arial"/>
          <w:sz w:val="22"/>
          <w:szCs w:val="22"/>
          <w:lang w:eastAsia="en-US"/>
        </w:rPr>
        <w:t xml:space="preserve">, P.C.H. Hollmann, M.B. Katan, D. Kromhout: Dietary antioxidant flavonoids and risk of coronary heart disease, The </w:t>
      </w:r>
      <w:proofErr w:type="spellStart"/>
      <w:r w:rsidRPr="00811276">
        <w:rPr>
          <w:rFonts w:asciiTheme="minorHAnsi" w:eastAsia="Times New Roman" w:hAnsiTheme="minorHAnsi" w:cs="Arial"/>
          <w:sz w:val="22"/>
          <w:szCs w:val="22"/>
          <w:lang w:eastAsia="en-US"/>
        </w:rPr>
        <w:t>Zutphen</w:t>
      </w:r>
      <w:proofErr w:type="spellEnd"/>
      <w:r w:rsidRPr="00811276">
        <w:rPr>
          <w:rFonts w:asciiTheme="minorHAnsi" w:eastAsia="Times New Roman" w:hAnsiTheme="minorHAnsi" w:cs="Arial"/>
          <w:sz w:val="22"/>
          <w:szCs w:val="22"/>
          <w:lang w:eastAsia="en-US"/>
        </w:rPr>
        <w:t xml:space="preserve"> Elderly Study, In: Lancet (1993), 342, pp. 1007-11</w:t>
      </w:r>
    </w:p>
    <w:p w14:paraId="31F46230"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Department of Chemistry, University of the Orange Free State, P.O Box 339, Bloemfontein, 9300, South Africa</w:t>
      </w:r>
    </w:p>
    <w:p w14:paraId="0767A940"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Schmirnoff</w:t>
      </w:r>
      <w:proofErr w:type="spellEnd"/>
      <w:r w:rsidRPr="00811276">
        <w:rPr>
          <w:rFonts w:asciiTheme="minorHAnsi" w:eastAsia="Times New Roman" w:hAnsiTheme="minorHAnsi" w:cs="Arial"/>
          <w:sz w:val="22"/>
          <w:szCs w:val="22"/>
          <w:lang w:eastAsia="en-US"/>
        </w:rPr>
        <w:t>, N.: The Function and Metabolism of Ascorbic Acid in Plants, In: Annals of Botany (1996) 78, pp. 661-669</w:t>
      </w:r>
    </w:p>
    <w:p w14:paraId="2ED4BF9D"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Johnson, M.A., Fischer J.G.: Role of Minerals in Protection Against Free Radicals, In: Food Technology (1994), 48, 5,, pp. 112-120</w:t>
      </w:r>
    </w:p>
    <w:p w14:paraId="32C7A8D4"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Von Gadow, A, Joubert, E., Hausmann, C.F.: Comparison of the Antioxidant Activity of Aspalathus with that of other plant phenols of Rooibos Tea (Aspalathus Linearis), alpha-Tocopherol, BHT, and BHA, In: </w:t>
      </w:r>
      <w:proofErr w:type="spellStart"/>
      <w:r w:rsidRPr="00811276">
        <w:rPr>
          <w:rFonts w:asciiTheme="minorHAnsi" w:eastAsia="Times New Roman" w:hAnsiTheme="minorHAnsi" w:cs="Arial"/>
          <w:sz w:val="22"/>
          <w:szCs w:val="22"/>
          <w:lang w:eastAsia="en-US"/>
        </w:rPr>
        <w:t>J.Agric</w:t>
      </w:r>
      <w:proofErr w:type="spellEnd"/>
      <w:r w:rsidRPr="00811276">
        <w:rPr>
          <w:rFonts w:asciiTheme="minorHAnsi" w:eastAsia="Times New Roman" w:hAnsiTheme="minorHAnsi" w:cs="Arial"/>
          <w:sz w:val="22"/>
          <w:szCs w:val="22"/>
          <w:lang w:eastAsia="en-US"/>
        </w:rPr>
        <w:t>. Food Chem. (1997), 45, pp. 632-638</w:t>
      </w:r>
    </w:p>
    <w:p w14:paraId="30A488BC"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Snyckers</w:t>
      </w:r>
      <w:proofErr w:type="spellEnd"/>
      <w:r w:rsidRPr="00811276">
        <w:rPr>
          <w:rFonts w:asciiTheme="minorHAnsi" w:eastAsia="Times New Roman" w:hAnsiTheme="minorHAnsi" w:cs="Arial"/>
          <w:sz w:val="22"/>
          <w:szCs w:val="22"/>
          <w:lang w:eastAsia="en-US"/>
        </w:rPr>
        <w:t xml:space="preserve"> FO, Salemi G.: Studies of South African medicinal plants. Part 1 Quercetin as the major in vitro active component of Rooibos tea. In: J. South Afr. Chem. Inst. (1974), 27, pp.5-7</w:t>
      </w:r>
    </w:p>
    <w:p w14:paraId="331E6538"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Koeppen, BH, Smit CJB, Roux DG: The flavone C-glycosides and the </w:t>
      </w:r>
      <w:proofErr w:type="spellStart"/>
      <w:r w:rsidRPr="00811276">
        <w:rPr>
          <w:rFonts w:asciiTheme="minorHAnsi" w:eastAsia="Times New Roman" w:hAnsiTheme="minorHAnsi" w:cs="Arial"/>
          <w:sz w:val="22"/>
          <w:szCs w:val="22"/>
          <w:lang w:eastAsia="en-US"/>
        </w:rPr>
        <w:t>flavonol</w:t>
      </w:r>
      <w:proofErr w:type="spellEnd"/>
      <w:r w:rsidRPr="00811276">
        <w:rPr>
          <w:rFonts w:asciiTheme="minorHAnsi" w:eastAsia="Times New Roman" w:hAnsiTheme="minorHAnsi" w:cs="Arial"/>
          <w:sz w:val="22"/>
          <w:szCs w:val="22"/>
          <w:lang w:eastAsia="en-US"/>
        </w:rPr>
        <w:t xml:space="preserve"> O-glycosides of </w:t>
      </w:r>
      <w:proofErr w:type="spellStart"/>
      <w:r w:rsidRPr="00811276">
        <w:rPr>
          <w:rFonts w:asciiTheme="minorHAnsi" w:eastAsia="Times New Roman" w:hAnsiTheme="minorHAnsi" w:cs="Arial"/>
          <w:sz w:val="22"/>
          <w:szCs w:val="22"/>
          <w:lang w:eastAsia="en-US"/>
        </w:rPr>
        <w:t>Aspalathin</w:t>
      </w:r>
      <w:proofErr w:type="spellEnd"/>
      <w:r w:rsidRPr="00811276">
        <w:rPr>
          <w:rFonts w:asciiTheme="minorHAnsi" w:eastAsia="Times New Roman" w:hAnsiTheme="minorHAnsi" w:cs="Arial"/>
          <w:sz w:val="22"/>
          <w:szCs w:val="22"/>
          <w:lang w:eastAsia="en-US"/>
        </w:rPr>
        <w:t xml:space="preserve"> </w:t>
      </w:r>
      <w:proofErr w:type="spellStart"/>
      <w:r w:rsidRPr="00811276">
        <w:rPr>
          <w:rFonts w:asciiTheme="minorHAnsi" w:eastAsia="Times New Roman" w:hAnsiTheme="minorHAnsi" w:cs="Arial"/>
          <w:sz w:val="22"/>
          <w:szCs w:val="22"/>
          <w:lang w:eastAsia="en-US"/>
        </w:rPr>
        <w:t>acumunatus</w:t>
      </w:r>
      <w:proofErr w:type="spellEnd"/>
      <w:r w:rsidRPr="00811276">
        <w:rPr>
          <w:rFonts w:asciiTheme="minorHAnsi" w:eastAsia="Times New Roman" w:hAnsiTheme="minorHAnsi" w:cs="Arial"/>
          <w:sz w:val="22"/>
          <w:szCs w:val="22"/>
          <w:lang w:eastAsia="en-US"/>
        </w:rPr>
        <w:t xml:space="preserve"> (Rooibos tea), In: </w:t>
      </w:r>
      <w:proofErr w:type="spellStart"/>
      <w:r w:rsidRPr="00811276">
        <w:rPr>
          <w:rFonts w:asciiTheme="minorHAnsi" w:eastAsia="Times New Roman" w:hAnsiTheme="minorHAnsi" w:cs="Arial"/>
          <w:sz w:val="22"/>
          <w:szCs w:val="22"/>
          <w:lang w:eastAsia="en-US"/>
        </w:rPr>
        <w:t>Biochem</w:t>
      </w:r>
      <w:proofErr w:type="spellEnd"/>
      <w:r w:rsidRPr="00811276">
        <w:rPr>
          <w:rFonts w:asciiTheme="minorHAnsi" w:eastAsia="Times New Roman" w:hAnsiTheme="minorHAnsi" w:cs="Arial"/>
          <w:sz w:val="22"/>
          <w:szCs w:val="22"/>
          <w:lang w:eastAsia="en-US"/>
        </w:rPr>
        <w:t>. J.(1962), 83, pp.507-11</w:t>
      </w:r>
    </w:p>
    <w:p w14:paraId="301DF5C7"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Koeppen BH, Roux DG.: C-</w:t>
      </w:r>
      <w:proofErr w:type="spellStart"/>
      <w:r w:rsidRPr="00811276">
        <w:rPr>
          <w:rFonts w:asciiTheme="minorHAnsi" w:eastAsia="Times New Roman" w:hAnsiTheme="minorHAnsi" w:cs="Arial"/>
          <w:sz w:val="22"/>
          <w:szCs w:val="22"/>
          <w:lang w:eastAsia="en-US"/>
        </w:rPr>
        <w:t>glycosylflavonoids</w:t>
      </w:r>
      <w:proofErr w:type="spellEnd"/>
      <w:r w:rsidRPr="00811276">
        <w:rPr>
          <w:rFonts w:asciiTheme="minorHAnsi" w:eastAsia="Times New Roman" w:hAnsiTheme="minorHAnsi" w:cs="Arial"/>
          <w:sz w:val="22"/>
          <w:szCs w:val="22"/>
          <w:lang w:eastAsia="en-US"/>
        </w:rPr>
        <w:t xml:space="preserve">. The chemistry of orientin and iso-orientin. In: </w:t>
      </w:r>
      <w:proofErr w:type="spellStart"/>
      <w:r w:rsidRPr="00811276">
        <w:rPr>
          <w:rFonts w:asciiTheme="minorHAnsi" w:eastAsia="Times New Roman" w:hAnsiTheme="minorHAnsi" w:cs="Arial"/>
          <w:sz w:val="22"/>
          <w:szCs w:val="22"/>
          <w:lang w:eastAsia="en-US"/>
        </w:rPr>
        <w:t>Biochem.J</w:t>
      </w:r>
      <w:proofErr w:type="spellEnd"/>
      <w:r w:rsidRPr="00811276">
        <w:rPr>
          <w:rFonts w:asciiTheme="minorHAnsi" w:eastAsia="Times New Roman" w:hAnsiTheme="minorHAnsi" w:cs="Arial"/>
          <w:sz w:val="22"/>
          <w:szCs w:val="22"/>
          <w:lang w:eastAsia="en-US"/>
        </w:rPr>
        <w:t>. (1965, 97,pp. 444-8</w:t>
      </w:r>
    </w:p>
    <w:p w14:paraId="086AA45E"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Busse WW, Kopp DE, Middleton, E.: Flavonoid modulation of human neutrophil function. In: </w:t>
      </w:r>
      <w:proofErr w:type="spellStart"/>
      <w:r w:rsidRPr="00811276">
        <w:rPr>
          <w:rFonts w:asciiTheme="minorHAnsi" w:eastAsia="Times New Roman" w:hAnsiTheme="minorHAnsi" w:cs="Arial"/>
          <w:sz w:val="22"/>
          <w:szCs w:val="22"/>
          <w:lang w:eastAsia="en-US"/>
        </w:rPr>
        <w:t>J.Allergy</w:t>
      </w:r>
      <w:proofErr w:type="spellEnd"/>
      <w:r w:rsidRPr="00811276">
        <w:rPr>
          <w:rFonts w:asciiTheme="minorHAnsi" w:eastAsia="Times New Roman" w:hAnsiTheme="minorHAnsi" w:cs="Arial"/>
          <w:sz w:val="22"/>
          <w:szCs w:val="22"/>
          <w:lang w:eastAsia="en-US"/>
        </w:rPr>
        <w:t xml:space="preserve"> Clin. Immunol (1990), 73, pp.801-809</w:t>
      </w:r>
    </w:p>
    <w:p w14:paraId="7E307227" w14:textId="77777777" w:rsidR="00811276" w:rsidRPr="00811276" w:rsidRDefault="00811276" w:rsidP="00811276">
      <w:pPr>
        <w:numPr>
          <w:ilvl w:val="0"/>
          <w:numId w:val="5"/>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Gryglewski</w:t>
      </w:r>
      <w:proofErr w:type="spellEnd"/>
      <w:r w:rsidRPr="00811276">
        <w:rPr>
          <w:rFonts w:asciiTheme="minorHAnsi" w:eastAsia="Times New Roman" w:hAnsiTheme="minorHAnsi" w:cs="Arial"/>
          <w:sz w:val="22"/>
          <w:szCs w:val="22"/>
          <w:lang w:eastAsia="en-US"/>
        </w:rPr>
        <w:t xml:space="preserve"> RJ, Korbut R., Robak, J., Swies, J.: On the mechanism of antithrombotic action of flavonoids. In: </w:t>
      </w:r>
      <w:proofErr w:type="spellStart"/>
      <w:r w:rsidRPr="00811276">
        <w:rPr>
          <w:rFonts w:asciiTheme="minorHAnsi" w:eastAsia="Times New Roman" w:hAnsiTheme="minorHAnsi" w:cs="Arial"/>
          <w:sz w:val="22"/>
          <w:szCs w:val="22"/>
          <w:lang w:eastAsia="en-US"/>
        </w:rPr>
        <w:t>Biochem</w:t>
      </w:r>
      <w:proofErr w:type="spellEnd"/>
      <w:r w:rsidRPr="00811276">
        <w:rPr>
          <w:rFonts w:asciiTheme="minorHAnsi" w:eastAsia="Times New Roman" w:hAnsiTheme="minorHAnsi" w:cs="Arial"/>
          <w:sz w:val="22"/>
          <w:szCs w:val="22"/>
          <w:lang w:eastAsia="en-US"/>
        </w:rPr>
        <w:t xml:space="preserve"> </w:t>
      </w:r>
      <w:proofErr w:type="spellStart"/>
      <w:r w:rsidRPr="00811276">
        <w:rPr>
          <w:rFonts w:asciiTheme="minorHAnsi" w:eastAsia="Times New Roman" w:hAnsiTheme="minorHAnsi" w:cs="Arial"/>
          <w:sz w:val="22"/>
          <w:szCs w:val="22"/>
          <w:lang w:eastAsia="en-US"/>
        </w:rPr>
        <w:t>Pharmarcol</w:t>
      </w:r>
      <w:proofErr w:type="spellEnd"/>
      <w:r w:rsidRPr="00811276">
        <w:rPr>
          <w:rFonts w:asciiTheme="minorHAnsi" w:eastAsia="Times New Roman" w:hAnsiTheme="minorHAnsi" w:cs="Arial"/>
          <w:sz w:val="22"/>
          <w:szCs w:val="22"/>
          <w:lang w:eastAsia="en-US"/>
        </w:rPr>
        <w:t xml:space="preserve"> (1987), 36, pp. 317-22</w:t>
      </w:r>
    </w:p>
    <w:p w14:paraId="2398315D"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Selway JWT: Antiviral activity of flavones and </w:t>
      </w:r>
      <w:proofErr w:type="spellStart"/>
      <w:r w:rsidRPr="00811276">
        <w:rPr>
          <w:rFonts w:asciiTheme="minorHAnsi" w:eastAsia="Times New Roman" w:hAnsiTheme="minorHAnsi" w:cs="Arial"/>
          <w:sz w:val="22"/>
          <w:szCs w:val="22"/>
          <w:lang w:eastAsia="en-US"/>
        </w:rPr>
        <w:t>flavans</w:t>
      </w:r>
      <w:proofErr w:type="spellEnd"/>
      <w:r w:rsidRPr="00811276">
        <w:rPr>
          <w:rFonts w:asciiTheme="minorHAnsi" w:eastAsia="Times New Roman" w:hAnsiTheme="minorHAnsi" w:cs="Arial"/>
          <w:sz w:val="22"/>
          <w:szCs w:val="22"/>
          <w:lang w:eastAsia="en-US"/>
        </w:rPr>
        <w:t xml:space="preserve">. In: Cody V. Middleton E., Harborne JB Eds: Plant Flavonoids in Biology and Medicine: Biochemical, Pharmacological and Structure-Activity Relationships. New York: Alan R. Liss. Inc.(1986), pp. 521-536 </w:t>
      </w:r>
    </w:p>
    <w:p w14:paraId="20AA858B"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Hodnick</w:t>
      </w:r>
      <w:proofErr w:type="spellEnd"/>
      <w:r w:rsidRPr="00811276">
        <w:rPr>
          <w:rFonts w:asciiTheme="minorHAnsi" w:eastAsia="Times New Roman" w:hAnsiTheme="minorHAnsi" w:cs="Arial"/>
          <w:sz w:val="22"/>
          <w:szCs w:val="22"/>
          <w:lang w:eastAsia="en-US"/>
        </w:rPr>
        <w:t xml:space="preserve"> WF, Roettger WJ. Kung FS, </w:t>
      </w:r>
      <w:proofErr w:type="spellStart"/>
      <w:r w:rsidRPr="00811276">
        <w:rPr>
          <w:rFonts w:asciiTheme="minorHAnsi" w:eastAsia="Times New Roman" w:hAnsiTheme="minorHAnsi" w:cs="Arial"/>
          <w:sz w:val="22"/>
          <w:szCs w:val="22"/>
          <w:lang w:eastAsia="en-US"/>
        </w:rPr>
        <w:t>Bohmont</w:t>
      </w:r>
      <w:proofErr w:type="spellEnd"/>
      <w:r w:rsidRPr="00811276">
        <w:rPr>
          <w:rFonts w:asciiTheme="minorHAnsi" w:eastAsia="Times New Roman" w:hAnsiTheme="minorHAnsi" w:cs="Arial"/>
          <w:sz w:val="22"/>
          <w:szCs w:val="22"/>
          <w:lang w:eastAsia="en-US"/>
        </w:rPr>
        <w:t xml:space="preserve"> CW, Pardini RS: Inhibition of </w:t>
      </w:r>
      <w:proofErr w:type="spellStart"/>
      <w:r w:rsidRPr="00811276">
        <w:rPr>
          <w:rFonts w:asciiTheme="minorHAnsi" w:eastAsia="Times New Roman" w:hAnsiTheme="minorHAnsi" w:cs="Arial"/>
          <w:sz w:val="22"/>
          <w:szCs w:val="22"/>
          <w:lang w:eastAsia="en-US"/>
        </w:rPr>
        <w:t>mitochodrial</w:t>
      </w:r>
      <w:proofErr w:type="spellEnd"/>
      <w:r w:rsidRPr="00811276">
        <w:rPr>
          <w:rFonts w:asciiTheme="minorHAnsi" w:eastAsia="Times New Roman" w:hAnsiTheme="minorHAnsi" w:cs="Arial"/>
          <w:sz w:val="22"/>
          <w:szCs w:val="22"/>
          <w:lang w:eastAsia="en-US"/>
        </w:rPr>
        <w:t xml:space="preserve"> respiration and production of superoxide and hydrogen peroxide by flavonoids: A structure activity study. In: Cody V. Middleton E. Harborne JB. Eds. Plant Flavonoids in Biology and Medicine: Biochemical. Pharmacological, and Structure-Activity Relationships. New York: Alan R. </w:t>
      </w:r>
      <w:proofErr w:type="spellStart"/>
      <w:r w:rsidRPr="00811276">
        <w:rPr>
          <w:rFonts w:asciiTheme="minorHAnsi" w:eastAsia="Times New Roman" w:hAnsiTheme="minorHAnsi" w:cs="Arial"/>
          <w:sz w:val="22"/>
          <w:szCs w:val="22"/>
          <w:lang w:eastAsia="en-US"/>
        </w:rPr>
        <w:t>Liss.Inc</w:t>
      </w:r>
      <w:proofErr w:type="spellEnd"/>
      <w:r w:rsidRPr="00811276">
        <w:rPr>
          <w:rFonts w:asciiTheme="minorHAnsi" w:eastAsia="Times New Roman" w:hAnsiTheme="minorHAnsi" w:cs="Arial"/>
          <w:sz w:val="22"/>
          <w:szCs w:val="22"/>
          <w:lang w:eastAsia="en-US"/>
        </w:rPr>
        <w:t>. (1986), pp.249-52</w:t>
      </w:r>
    </w:p>
    <w:p w14:paraId="48D1E748"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lastRenderedPageBreak/>
        <w:t>Huang MT. Wood AW. Newmark HL et. Al: Inhibition of mutagenicity of bay-region diol-epoxides of polycyclic aromatic hydrocarbons by phenolic plant flavonoids. In: Carcinogenesis (1983), 4,pp. 1631-7</w:t>
      </w:r>
    </w:p>
    <w:p w14:paraId="37A2A16E"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Kato R., </w:t>
      </w:r>
      <w:proofErr w:type="spellStart"/>
      <w:r w:rsidRPr="00811276">
        <w:rPr>
          <w:rFonts w:asciiTheme="minorHAnsi" w:eastAsia="Times New Roman" w:hAnsiTheme="minorHAnsi" w:cs="Arial"/>
          <w:sz w:val="22"/>
          <w:szCs w:val="22"/>
          <w:lang w:eastAsia="en-US"/>
        </w:rPr>
        <w:t>Nekadate</w:t>
      </w:r>
      <w:proofErr w:type="spellEnd"/>
      <w:r w:rsidRPr="00811276">
        <w:rPr>
          <w:rFonts w:asciiTheme="minorHAnsi" w:eastAsia="Times New Roman" w:hAnsiTheme="minorHAnsi" w:cs="Arial"/>
          <w:sz w:val="22"/>
          <w:szCs w:val="22"/>
          <w:lang w:eastAsia="en-US"/>
        </w:rPr>
        <w:t xml:space="preserve"> T. Yamamoto S., Sugimura T.: Inhibition of 12-0-tetradecanolyphorbo-13-acetate-induced </w:t>
      </w:r>
      <w:proofErr w:type="spellStart"/>
      <w:r w:rsidRPr="00811276">
        <w:rPr>
          <w:rFonts w:asciiTheme="minorHAnsi" w:eastAsia="Times New Roman" w:hAnsiTheme="minorHAnsi" w:cs="Arial"/>
          <w:sz w:val="22"/>
          <w:szCs w:val="22"/>
          <w:lang w:eastAsia="en-US"/>
        </w:rPr>
        <w:t>tumor</w:t>
      </w:r>
      <w:proofErr w:type="spellEnd"/>
      <w:r w:rsidRPr="00811276">
        <w:rPr>
          <w:rFonts w:asciiTheme="minorHAnsi" w:eastAsia="Times New Roman" w:hAnsiTheme="minorHAnsi" w:cs="Arial"/>
          <w:sz w:val="22"/>
          <w:szCs w:val="22"/>
          <w:lang w:eastAsia="en-US"/>
        </w:rPr>
        <w:t xml:space="preserve"> production and ornithine decarboxylase activity by quercetin: possible involvement of lipoxygenase inhibition. In: Carcinogenesis (1983)m 1, pp 1301-5</w:t>
      </w:r>
    </w:p>
    <w:p w14:paraId="7517BE7E"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Stavric</w:t>
      </w:r>
      <w:proofErr w:type="spellEnd"/>
      <w:r w:rsidRPr="00811276">
        <w:rPr>
          <w:rFonts w:asciiTheme="minorHAnsi" w:eastAsia="Times New Roman" w:hAnsiTheme="minorHAnsi" w:cs="Arial"/>
          <w:sz w:val="22"/>
          <w:szCs w:val="22"/>
          <w:lang w:eastAsia="en-US"/>
        </w:rPr>
        <w:t xml:space="preserve"> B.: Quercetin in our diet: from potent mutagen to probably anticarcinogen. In: Clin. </w:t>
      </w:r>
      <w:proofErr w:type="spellStart"/>
      <w:r w:rsidRPr="00811276">
        <w:rPr>
          <w:rFonts w:asciiTheme="minorHAnsi" w:eastAsia="Times New Roman" w:hAnsiTheme="minorHAnsi" w:cs="Arial"/>
          <w:sz w:val="22"/>
          <w:szCs w:val="22"/>
          <w:lang w:eastAsia="en-US"/>
        </w:rPr>
        <w:t>Biochem</w:t>
      </w:r>
      <w:proofErr w:type="spellEnd"/>
      <w:r w:rsidRPr="00811276">
        <w:rPr>
          <w:rFonts w:asciiTheme="minorHAnsi" w:eastAsia="Times New Roman" w:hAnsiTheme="minorHAnsi" w:cs="Arial"/>
          <w:sz w:val="22"/>
          <w:szCs w:val="22"/>
          <w:lang w:eastAsia="en-US"/>
        </w:rPr>
        <w:t>. (1994), 27, pp. 245-8</w:t>
      </w:r>
    </w:p>
    <w:p w14:paraId="2AF3D732"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Habu T., Flath R.A., Mon T.R., Morton J.F., In: </w:t>
      </w:r>
      <w:proofErr w:type="spellStart"/>
      <w:r w:rsidRPr="00811276">
        <w:rPr>
          <w:rFonts w:asciiTheme="minorHAnsi" w:eastAsia="Times New Roman" w:hAnsiTheme="minorHAnsi" w:cs="Arial"/>
          <w:sz w:val="22"/>
          <w:szCs w:val="22"/>
          <w:lang w:eastAsia="en-US"/>
        </w:rPr>
        <w:t>J.Agric.Food</w:t>
      </w:r>
      <w:proofErr w:type="spellEnd"/>
      <w:r w:rsidRPr="00811276">
        <w:rPr>
          <w:rFonts w:asciiTheme="minorHAnsi" w:eastAsia="Times New Roman" w:hAnsiTheme="minorHAnsi" w:cs="Arial"/>
          <w:sz w:val="22"/>
          <w:szCs w:val="22"/>
          <w:lang w:eastAsia="en-US"/>
        </w:rPr>
        <w:t xml:space="preserve"> Chem. (1985), 33 (2), pp. 249</w:t>
      </w:r>
    </w:p>
    <w:p w14:paraId="67935089"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Kawakami, M., Kobayashi A., Kator, K., In: </w:t>
      </w:r>
      <w:proofErr w:type="spellStart"/>
      <w:r w:rsidRPr="00811276">
        <w:rPr>
          <w:rFonts w:asciiTheme="minorHAnsi" w:eastAsia="Times New Roman" w:hAnsiTheme="minorHAnsi" w:cs="Arial"/>
          <w:sz w:val="22"/>
          <w:szCs w:val="22"/>
          <w:lang w:eastAsia="en-US"/>
        </w:rPr>
        <w:t>J.Agric</w:t>
      </w:r>
      <w:proofErr w:type="spellEnd"/>
      <w:r w:rsidRPr="00811276">
        <w:rPr>
          <w:rFonts w:asciiTheme="minorHAnsi" w:eastAsia="Times New Roman" w:hAnsiTheme="minorHAnsi" w:cs="Arial"/>
          <w:sz w:val="22"/>
          <w:szCs w:val="22"/>
          <w:lang w:eastAsia="en-US"/>
        </w:rPr>
        <w:t xml:space="preserve">. </w:t>
      </w:r>
      <w:proofErr w:type="spellStart"/>
      <w:r w:rsidRPr="00811276">
        <w:rPr>
          <w:rFonts w:asciiTheme="minorHAnsi" w:eastAsia="Times New Roman" w:hAnsiTheme="minorHAnsi" w:cs="Arial"/>
          <w:sz w:val="22"/>
          <w:szCs w:val="22"/>
          <w:lang w:eastAsia="en-US"/>
        </w:rPr>
        <w:t>Food.Chem</w:t>
      </w:r>
      <w:proofErr w:type="spellEnd"/>
      <w:r w:rsidRPr="00811276">
        <w:rPr>
          <w:rFonts w:asciiTheme="minorHAnsi" w:eastAsia="Times New Roman" w:hAnsiTheme="minorHAnsi" w:cs="Arial"/>
          <w:sz w:val="22"/>
          <w:szCs w:val="22"/>
          <w:lang w:eastAsia="en-US"/>
        </w:rPr>
        <w:t>. (1993), 41, pp.633</w:t>
      </w:r>
    </w:p>
    <w:p w14:paraId="19857A87"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Shindo, Y., Kato, K. In: Proceedings of the International Symposium on Tea Science, The Organizing Committee of ISTS, Shizuoka, Japan, </w:t>
      </w:r>
      <w:proofErr w:type="spellStart"/>
      <w:r w:rsidRPr="00811276">
        <w:rPr>
          <w:rFonts w:asciiTheme="minorHAnsi" w:eastAsia="Times New Roman" w:hAnsiTheme="minorHAnsi" w:cs="Arial"/>
          <w:sz w:val="22"/>
          <w:szCs w:val="22"/>
          <w:lang w:eastAsia="en-US"/>
        </w:rPr>
        <w:t>Kurofane</w:t>
      </w:r>
      <w:proofErr w:type="spellEnd"/>
      <w:r w:rsidRPr="00811276">
        <w:rPr>
          <w:rFonts w:asciiTheme="minorHAnsi" w:eastAsia="Times New Roman" w:hAnsiTheme="minorHAnsi" w:cs="Arial"/>
          <w:sz w:val="22"/>
          <w:szCs w:val="22"/>
          <w:lang w:eastAsia="en-US"/>
        </w:rPr>
        <w:t xml:space="preserve"> Co. Ltd. (1991), pp. 385</w:t>
      </w:r>
    </w:p>
    <w:p w14:paraId="30BA4FF5"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Joubert, E.: Effect of batch extraction conditions on extraction of polyphenol from Rooibos tea (Aspalathus Linearis), In: International Journal of Food Science and Technology (1990), 25, pp. 339-343</w:t>
      </w:r>
    </w:p>
    <w:p w14:paraId="769A2558"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Joubert, E.: HPLC quantification of the dihydrochalcones, </w:t>
      </w:r>
      <w:proofErr w:type="spellStart"/>
      <w:r w:rsidRPr="00811276">
        <w:rPr>
          <w:rFonts w:asciiTheme="minorHAnsi" w:eastAsia="Times New Roman" w:hAnsiTheme="minorHAnsi" w:cs="Arial"/>
          <w:sz w:val="22"/>
          <w:szCs w:val="22"/>
          <w:lang w:eastAsia="en-US"/>
        </w:rPr>
        <w:t>Aspalathin</w:t>
      </w:r>
      <w:proofErr w:type="spellEnd"/>
      <w:r w:rsidRPr="00811276">
        <w:rPr>
          <w:rFonts w:asciiTheme="minorHAnsi" w:eastAsia="Times New Roman" w:hAnsiTheme="minorHAnsi" w:cs="Arial"/>
          <w:sz w:val="22"/>
          <w:szCs w:val="22"/>
          <w:lang w:eastAsia="en-US"/>
        </w:rPr>
        <w:t xml:space="preserve"> and </w:t>
      </w:r>
      <w:proofErr w:type="spellStart"/>
      <w:r w:rsidRPr="00811276">
        <w:rPr>
          <w:rFonts w:asciiTheme="minorHAnsi" w:eastAsia="Times New Roman" w:hAnsiTheme="minorHAnsi" w:cs="Arial"/>
          <w:sz w:val="22"/>
          <w:szCs w:val="22"/>
          <w:lang w:eastAsia="en-US"/>
        </w:rPr>
        <w:t>nothofagin</w:t>
      </w:r>
      <w:proofErr w:type="spellEnd"/>
      <w:r w:rsidRPr="00811276">
        <w:rPr>
          <w:rFonts w:asciiTheme="minorHAnsi" w:eastAsia="Times New Roman" w:hAnsiTheme="minorHAnsi" w:cs="Arial"/>
          <w:sz w:val="22"/>
          <w:szCs w:val="22"/>
          <w:lang w:eastAsia="en-US"/>
        </w:rPr>
        <w:t xml:space="preserve"> in Rooibos tea (Aspalathus Linearis) as affected by processing, In: Food Chemistry (1996), Vol. 55, No.4, pp. 403-411</w:t>
      </w:r>
    </w:p>
    <w:p w14:paraId="12979BC8"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Gow Chin Yen, Hui-Yin Chen, Hui-Hsuan Peng: Antioxidants and Pro-Oxidant Effects of Various Tea Extracts, In: </w:t>
      </w:r>
      <w:proofErr w:type="spellStart"/>
      <w:r w:rsidRPr="00811276">
        <w:rPr>
          <w:rFonts w:asciiTheme="minorHAnsi" w:eastAsia="Times New Roman" w:hAnsiTheme="minorHAnsi" w:cs="Arial"/>
          <w:sz w:val="22"/>
          <w:szCs w:val="22"/>
          <w:lang w:eastAsia="en-US"/>
        </w:rPr>
        <w:t>J.Agric</w:t>
      </w:r>
      <w:proofErr w:type="spellEnd"/>
      <w:r w:rsidRPr="00811276">
        <w:rPr>
          <w:rFonts w:asciiTheme="minorHAnsi" w:eastAsia="Times New Roman" w:hAnsiTheme="minorHAnsi" w:cs="Arial"/>
          <w:sz w:val="22"/>
          <w:szCs w:val="22"/>
          <w:lang w:eastAsia="en-US"/>
        </w:rPr>
        <w:t>. Food Chem. (1997), 45, pp. 30-34</w:t>
      </w:r>
    </w:p>
    <w:p w14:paraId="5D3FF00B"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Noroozi</w:t>
      </w:r>
      <w:proofErr w:type="spellEnd"/>
      <w:r w:rsidRPr="00811276">
        <w:rPr>
          <w:rFonts w:asciiTheme="minorHAnsi" w:eastAsia="Times New Roman" w:hAnsiTheme="minorHAnsi" w:cs="Arial"/>
          <w:sz w:val="22"/>
          <w:szCs w:val="22"/>
          <w:lang w:eastAsia="en-US"/>
        </w:rPr>
        <w:t xml:space="preserve">, M., </w:t>
      </w:r>
      <w:proofErr w:type="spellStart"/>
      <w:r w:rsidRPr="00811276">
        <w:rPr>
          <w:rFonts w:asciiTheme="minorHAnsi" w:eastAsia="Times New Roman" w:hAnsiTheme="minorHAnsi" w:cs="Arial"/>
          <w:sz w:val="22"/>
          <w:szCs w:val="22"/>
          <w:lang w:eastAsia="en-US"/>
        </w:rPr>
        <w:t>Angerson</w:t>
      </w:r>
      <w:proofErr w:type="spellEnd"/>
      <w:r w:rsidRPr="00811276">
        <w:rPr>
          <w:rFonts w:asciiTheme="minorHAnsi" w:eastAsia="Times New Roman" w:hAnsiTheme="minorHAnsi" w:cs="Arial"/>
          <w:sz w:val="22"/>
          <w:szCs w:val="22"/>
          <w:lang w:eastAsia="en-US"/>
        </w:rPr>
        <w:t xml:space="preserve"> W.J., Lean, M.EJ: Effects of flavonoids and Vitamin C on oxidative DNA damage to human lymphocytes, In: </w:t>
      </w:r>
      <w:proofErr w:type="spellStart"/>
      <w:r w:rsidRPr="00811276">
        <w:rPr>
          <w:rFonts w:asciiTheme="minorHAnsi" w:eastAsia="Times New Roman" w:hAnsiTheme="minorHAnsi" w:cs="Arial"/>
          <w:sz w:val="22"/>
          <w:szCs w:val="22"/>
          <w:lang w:eastAsia="en-US"/>
        </w:rPr>
        <w:t>Am.J.Clin.Nutr</w:t>
      </w:r>
      <w:proofErr w:type="spellEnd"/>
      <w:r w:rsidRPr="00811276">
        <w:rPr>
          <w:rFonts w:asciiTheme="minorHAnsi" w:eastAsia="Times New Roman" w:hAnsiTheme="minorHAnsi" w:cs="Arial"/>
          <w:sz w:val="22"/>
          <w:szCs w:val="22"/>
          <w:lang w:eastAsia="en-US"/>
        </w:rPr>
        <w:t>. (1998), 67, pp. 1210-8</w:t>
      </w:r>
    </w:p>
    <w:p w14:paraId="78E8AC29"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Ratty, A.K., Das, N.P.: Effects of flavonoids on non-enzymatic lipid peroxidation: structure activity relationship. In: </w:t>
      </w:r>
      <w:proofErr w:type="spellStart"/>
      <w:r w:rsidRPr="00811276">
        <w:rPr>
          <w:rFonts w:asciiTheme="minorHAnsi" w:eastAsia="Times New Roman" w:hAnsiTheme="minorHAnsi" w:cs="Arial"/>
          <w:sz w:val="22"/>
          <w:szCs w:val="22"/>
          <w:lang w:eastAsia="en-US"/>
        </w:rPr>
        <w:t>Biochem.Med</w:t>
      </w:r>
      <w:proofErr w:type="spellEnd"/>
      <w:r w:rsidRPr="00811276">
        <w:rPr>
          <w:rFonts w:asciiTheme="minorHAnsi" w:eastAsia="Times New Roman" w:hAnsiTheme="minorHAnsi" w:cs="Arial"/>
          <w:sz w:val="22"/>
          <w:szCs w:val="22"/>
          <w:lang w:eastAsia="en-US"/>
        </w:rPr>
        <w:t>. (1988), 39, pp. 69-79.</w:t>
      </w:r>
    </w:p>
    <w:p w14:paraId="11219CC1"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Hanasaki</w:t>
      </w:r>
      <w:proofErr w:type="spellEnd"/>
      <w:r w:rsidRPr="00811276">
        <w:rPr>
          <w:rFonts w:asciiTheme="minorHAnsi" w:eastAsia="Times New Roman" w:hAnsiTheme="minorHAnsi" w:cs="Arial"/>
          <w:sz w:val="22"/>
          <w:szCs w:val="22"/>
          <w:lang w:eastAsia="en-US"/>
        </w:rPr>
        <w:t>, Y., Ogawa, S., Fukui, S.: The correlation between active oxygen’s scavenging and anti-oxidative effects of flavonoids. In: Free Radical Biol. Med. (1994), 16, pp. 845-850</w:t>
      </w:r>
    </w:p>
    <w:p w14:paraId="51875554" w14:textId="77777777" w:rsidR="00811276" w:rsidRPr="00811276" w:rsidRDefault="00811276" w:rsidP="00811276">
      <w:pPr>
        <w:numPr>
          <w:ilvl w:val="0"/>
          <w:numId w:val="6"/>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Morel, I., </w:t>
      </w:r>
      <w:proofErr w:type="spellStart"/>
      <w:r w:rsidRPr="00811276">
        <w:rPr>
          <w:rFonts w:asciiTheme="minorHAnsi" w:eastAsia="Times New Roman" w:hAnsiTheme="minorHAnsi" w:cs="Arial"/>
          <w:sz w:val="22"/>
          <w:szCs w:val="22"/>
          <w:lang w:eastAsia="en-US"/>
        </w:rPr>
        <w:t>Lescoat</w:t>
      </w:r>
      <w:proofErr w:type="spellEnd"/>
      <w:r w:rsidRPr="00811276">
        <w:rPr>
          <w:rFonts w:asciiTheme="minorHAnsi" w:eastAsia="Times New Roman" w:hAnsiTheme="minorHAnsi" w:cs="Arial"/>
          <w:sz w:val="22"/>
          <w:szCs w:val="22"/>
          <w:lang w:eastAsia="en-US"/>
        </w:rPr>
        <w:t xml:space="preserve">, G., </w:t>
      </w:r>
      <w:proofErr w:type="spellStart"/>
      <w:r w:rsidRPr="00811276">
        <w:rPr>
          <w:rFonts w:asciiTheme="minorHAnsi" w:eastAsia="Times New Roman" w:hAnsiTheme="minorHAnsi" w:cs="Arial"/>
          <w:sz w:val="22"/>
          <w:szCs w:val="22"/>
          <w:lang w:eastAsia="en-US"/>
        </w:rPr>
        <w:t>Cillard</w:t>
      </w:r>
      <w:proofErr w:type="spellEnd"/>
      <w:r w:rsidRPr="00811276">
        <w:rPr>
          <w:rFonts w:asciiTheme="minorHAnsi" w:eastAsia="Times New Roman" w:hAnsiTheme="minorHAnsi" w:cs="Arial"/>
          <w:sz w:val="22"/>
          <w:szCs w:val="22"/>
          <w:lang w:eastAsia="en-US"/>
        </w:rPr>
        <w:t xml:space="preserve">, P., </w:t>
      </w:r>
      <w:proofErr w:type="spellStart"/>
      <w:r w:rsidRPr="00811276">
        <w:rPr>
          <w:rFonts w:asciiTheme="minorHAnsi" w:eastAsia="Times New Roman" w:hAnsiTheme="minorHAnsi" w:cs="Arial"/>
          <w:sz w:val="22"/>
          <w:szCs w:val="22"/>
          <w:lang w:eastAsia="en-US"/>
        </w:rPr>
        <w:t>Cillard</w:t>
      </w:r>
      <w:proofErr w:type="spellEnd"/>
      <w:r w:rsidRPr="00811276">
        <w:rPr>
          <w:rFonts w:asciiTheme="minorHAnsi" w:eastAsia="Times New Roman" w:hAnsiTheme="minorHAnsi" w:cs="Arial"/>
          <w:sz w:val="22"/>
          <w:szCs w:val="22"/>
          <w:lang w:eastAsia="en-US"/>
        </w:rPr>
        <w:t xml:space="preserve">, J.: Role of flavonoids and iron chelation in antioxidant action. In: Methods </w:t>
      </w:r>
      <w:proofErr w:type="spellStart"/>
      <w:r w:rsidRPr="00811276">
        <w:rPr>
          <w:rFonts w:asciiTheme="minorHAnsi" w:eastAsia="Times New Roman" w:hAnsiTheme="minorHAnsi" w:cs="Arial"/>
          <w:sz w:val="22"/>
          <w:szCs w:val="22"/>
          <w:lang w:eastAsia="en-US"/>
        </w:rPr>
        <w:t>Enzymol</w:t>
      </w:r>
      <w:proofErr w:type="spellEnd"/>
      <w:r w:rsidRPr="00811276">
        <w:rPr>
          <w:rFonts w:asciiTheme="minorHAnsi" w:eastAsia="Times New Roman" w:hAnsiTheme="minorHAnsi" w:cs="Arial"/>
          <w:sz w:val="22"/>
          <w:szCs w:val="22"/>
          <w:lang w:eastAsia="en-US"/>
        </w:rPr>
        <w:t xml:space="preserve"> (1994), 234, pp. 437-443 </w:t>
      </w:r>
    </w:p>
    <w:p w14:paraId="4FE160B7"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Ratty, A.K., </w:t>
      </w:r>
      <w:proofErr w:type="spellStart"/>
      <w:r w:rsidRPr="00811276">
        <w:rPr>
          <w:rFonts w:asciiTheme="minorHAnsi" w:eastAsia="Times New Roman" w:hAnsiTheme="minorHAnsi" w:cs="Arial"/>
          <w:sz w:val="22"/>
          <w:szCs w:val="22"/>
          <w:lang w:eastAsia="en-US"/>
        </w:rPr>
        <w:t>Sunamoto</w:t>
      </w:r>
      <w:proofErr w:type="spellEnd"/>
      <w:r w:rsidRPr="00811276">
        <w:rPr>
          <w:rFonts w:asciiTheme="minorHAnsi" w:eastAsia="Times New Roman" w:hAnsiTheme="minorHAnsi" w:cs="Arial"/>
          <w:sz w:val="22"/>
          <w:szCs w:val="22"/>
          <w:lang w:eastAsia="en-US"/>
        </w:rPr>
        <w:t xml:space="preserve">, J, Das, N.P.: Interaction of flavonoids with 1,1-diphenyl-2-picrylhydrazyl free radical, liposomal membranes, and soybean lipoxygenase-1. In: </w:t>
      </w:r>
      <w:proofErr w:type="spellStart"/>
      <w:r w:rsidRPr="00811276">
        <w:rPr>
          <w:rFonts w:asciiTheme="minorHAnsi" w:eastAsia="Times New Roman" w:hAnsiTheme="minorHAnsi" w:cs="Arial"/>
          <w:sz w:val="22"/>
          <w:szCs w:val="22"/>
          <w:lang w:eastAsia="en-US"/>
        </w:rPr>
        <w:t>Biochem</w:t>
      </w:r>
      <w:proofErr w:type="spellEnd"/>
      <w:r w:rsidRPr="00811276">
        <w:rPr>
          <w:rFonts w:asciiTheme="minorHAnsi" w:eastAsia="Times New Roman" w:hAnsiTheme="minorHAnsi" w:cs="Arial"/>
          <w:sz w:val="22"/>
          <w:szCs w:val="22"/>
          <w:lang w:eastAsia="en-US"/>
        </w:rPr>
        <w:t xml:space="preserve">. </w:t>
      </w:r>
      <w:proofErr w:type="spellStart"/>
      <w:r w:rsidRPr="00811276">
        <w:rPr>
          <w:rFonts w:asciiTheme="minorHAnsi" w:eastAsia="Times New Roman" w:hAnsiTheme="minorHAnsi" w:cs="Arial"/>
          <w:sz w:val="22"/>
          <w:szCs w:val="22"/>
          <w:lang w:eastAsia="en-US"/>
        </w:rPr>
        <w:t>Pharmacol</w:t>
      </w:r>
      <w:proofErr w:type="spellEnd"/>
      <w:r w:rsidRPr="00811276">
        <w:rPr>
          <w:rFonts w:asciiTheme="minorHAnsi" w:eastAsia="Times New Roman" w:hAnsiTheme="minorHAnsi" w:cs="Arial"/>
          <w:sz w:val="22"/>
          <w:szCs w:val="22"/>
          <w:lang w:eastAsia="en-US"/>
        </w:rPr>
        <w:t xml:space="preserve"> (1988), 37, pp.989-995</w:t>
      </w:r>
    </w:p>
    <w:p w14:paraId="14482739"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Kies, P.: </w:t>
      </w:r>
      <w:proofErr w:type="spellStart"/>
      <w:r w:rsidRPr="00811276">
        <w:rPr>
          <w:rFonts w:asciiTheme="minorHAnsi" w:eastAsia="Times New Roman" w:hAnsiTheme="minorHAnsi" w:cs="Arial"/>
          <w:sz w:val="22"/>
          <w:szCs w:val="22"/>
          <w:lang w:eastAsia="en-US"/>
        </w:rPr>
        <w:t>Revison</w:t>
      </w:r>
      <w:proofErr w:type="spellEnd"/>
      <w:r w:rsidRPr="00811276">
        <w:rPr>
          <w:rFonts w:asciiTheme="minorHAnsi" w:eastAsia="Times New Roman" w:hAnsiTheme="minorHAnsi" w:cs="Arial"/>
          <w:sz w:val="22"/>
          <w:szCs w:val="22"/>
          <w:lang w:eastAsia="en-US"/>
        </w:rPr>
        <w:t xml:space="preserve"> on the genus Cyclopia and notes on some other sources of bush tea (1951), In: </w:t>
      </w:r>
      <w:proofErr w:type="spellStart"/>
      <w:r w:rsidRPr="00811276">
        <w:rPr>
          <w:rFonts w:asciiTheme="minorHAnsi" w:eastAsia="Times New Roman" w:hAnsiTheme="minorHAnsi" w:cs="Arial"/>
          <w:sz w:val="22"/>
          <w:szCs w:val="22"/>
          <w:lang w:eastAsia="en-US"/>
        </w:rPr>
        <w:t>Bothalia</w:t>
      </w:r>
      <w:proofErr w:type="spellEnd"/>
      <w:r w:rsidRPr="00811276">
        <w:rPr>
          <w:rFonts w:asciiTheme="minorHAnsi" w:eastAsia="Times New Roman" w:hAnsiTheme="minorHAnsi" w:cs="Arial"/>
          <w:sz w:val="22"/>
          <w:szCs w:val="22"/>
          <w:lang w:eastAsia="en-US"/>
        </w:rPr>
        <w:t xml:space="preserve"> 6, pp. 161-176</w:t>
      </w:r>
    </w:p>
    <w:p w14:paraId="2F1567E9"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Du Toit, Jaco: Development of a standardized processing method for Honeybush Tea (Cyclopia), Master of Science in Food science, Dec. 1996, Department of Food Science, Faculty of Agriculture, University of Stellenbosch, Stellenbosch, South Africa</w:t>
      </w:r>
    </w:p>
    <w:p w14:paraId="634023F1"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lastRenderedPageBreak/>
        <w:t>Kamara, B.I.: Structure and synthesis of phenolic metabolites from Honeybush Tea (Cyclopia Intermedia), Master of Science, Department of Chemistry, Faculty of Natural Sciences at the University of Orange Free State Bloemfontein, Nov. 1997,</w:t>
      </w:r>
    </w:p>
    <w:p w14:paraId="2EAFCDA3"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Du Toit J.; Joubert, E.: The effect of pretreatment on the fermentation of Honeybush Tea (Cyclopia maculata), 1998, In: Journal of Science Food Agric., 76, pp 537-545</w:t>
      </w:r>
    </w:p>
    <w:p w14:paraId="2970AE13"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Ferreira, D.; Kamara, B.I.; Brandt, E.V.; Joubert, E.: Phenolic compounds from Cyclopia Intermedia (Honeybush Tea), 1998, In: J. Agric. </w:t>
      </w:r>
      <w:proofErr w:type="spellStart"/>
      <w:r w:rsidRPr="00811276">
        <w:rPr>
          <w:rFonts w:asciiTheme="minorHAnsi" w:eastAsia="Times New Roman" w:hAnsiTheme="minorHAnsi" w:cs="Arial"/>
          <w:sz w:val="22"/>
          <w:szCs w:val="22"/>
          <w:lang w:eastAsia="en-US"/>
        </w:rPr>
        <w:t>Food.Chem</w:t>
      </w:r>
      <w:proofErr w:type="spellEnd"/>
      <w:r w:rsidRPr="00811276">
        <w:rPr>
          <w:rFonts w:asciiTheme="minorHAnsi" w:eastAsia="Times New Roman" w:hAnsiTheme="minorHAnsi" w:cs="Arial"/>
          <w:sz w:val="22"/>
          <w:szCs w:val="22"/>
          <w:lang w:eastAsia="en-US"/>
        </w:rPr>
        <w:t>. 1998, 46, pp. 3406-3410</w:t>
      </w:r>
    </w:p>
    <w:p w14:paraId="62D2C9CB"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Schutte-Vlok, A.L.: Not all milk and Honeybush Tea, Sep. 1998, In: Veld &amp; Flora, 1998, pp. 90-91</w:t>
      </w:r>
    </w:p>
    <w:p w14:paraId="4B94681B"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De Nysschen, A.M.; Van Wyk, B-E.; Van Heerden, F.; Schutte, A.L.: The major phenolic compounds in the leaves of Cyclopia species (Honeybush tea), Biochemical Systematics and Ecology, Vol. 24, No.3 ,pp 243-246, 1996</w:t>
      </w:r>
    </w:p>
    <w:p w14:paraId="176ABB36"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Joubert, Lizette: Coffee, tea or Honeybush?, In: Food Industries of South Africa, April, 1996, pp. 29-30</w:t>
      </w:r>
    </w:p>
    <w:p w14:paraId="749CD391"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proofErr w:type="spellStart"/>
      <w:r w:rsidRPr="00811276">
        <w:rPr>
          <w:rFonts w:asciiTheme="minorHAnsi" w:eastAsia="Times New Roman" w:hAnsiTheme="minorHAnsi" w:cs="Arial"/>
          <w:sz w:val="22"/>
          <w:szCs w:val="22"/>
          <w:lang w:eastAsia="en-US"/>
        </w:rPr>
        <w:t>Terblance</w:t>
      </w:r>
      <w:proofErr w:type="spellEnd"/>
      <w:r w:rsidRPr="00811276">
        <w:rPr>
          <w:rFonts w:asciiTheme="minorHAnsi" w:eastAsia="Times New Roman" w:hAnsiTheme="minorHAnsi" w:cs="Arial"/>
          <w:sz w:val="22"/>
          <w:szCs w:val="22"/>
          <w:lang w:eastAsia="en-US"/>
        </w:rPr>
        <w:t xml:space="preserve"> S.E.: Report on Honeybush tea, Department of Biochemistry, University of Port Elizabeth, Port Elizabeth, South Africa. 1982</w:t>
      </w:r>
    </w:p>
    <w:p w14:paraId="3F6D506C"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Beecher, C.W.W.; Farnsworth, N.R.; Gyllenhaal, C.: Pharmacologically active secondary metabolites from wood, In: Natural Products of woody plants II, ed. Rowe, J.W. Springer-Verlag, Berlin, pp. 1059-1164, 1989</w:t>
      </w:r>
    </w:p>
    <w:p w14:paraId="5FB304B1" w14:textId="77777777" w:rsidR="00811276" w:rsidRPr="00811276" w:rsidRDefault="00811276" w:rsidP="00811276">
      <w:pPr>
        <w:numPr>
          <w:ilvl w:val="0"/>
          <w:numId w:val="7"/>
        </w:numPr>
        <w:spacing w:before="100" w:beforeAutospacing="1" w:after="100" w:afterAutospacing="1" w:line="276" w:lineRule="auto"/>
        <w:rPr>
          <w:rFonts w:asciiTheme="minorHAnsi" w:eastAsia="Times New Roman" w:hAnsiTheme="minorHAnsi" w:cs="Times New Roman"/>
          <w:sz w:val="22"/>
          <w:szCs w:val="22"/>
          <w:lang w:eastAsia="en-US"/>
        </w:rPr>
      </w:pPr>
      <w:r w:rsidRPr="00811276">
        <w:rPr>
          <w:rFonts w:asciiTheme="minorHAnsi" w:eastAsia="Times New Roman" w:hAnsiTheme="minorHAnsi" w:cs="Arial"/>
          <w:sz w:val="22"/>
          <w:szCs w:val="22"/>
          <w:lang w:eastAsia="en-US"/>
        </w:rPr>
        <w:t xml:space="preserve">Narayanan C.R, Joshi, D.D.; Mujumdar A.; </w:t>
      </w:r>
      <w:proofErr w:type="spellStart"/>
      <w:r w:rsidRPr="00811276">
        <w:rPr>
          <w:rFonts w:asciiTheme="minorHAnsi" w:eastAsia="Times New Roman" w:hAnsiTheme="minorHAnsi" w:cs="Arial"/>
          <w:sz w:val="22"/>
          <w:szCs w:val="22"/>
          <w:lang w:eastAsia="en-US"/>
        </w:rPr>
        <w:t>Dhekne</w:t>
      </w:r>
      <w:proofErr w:type="spellEnd"/>
      <w:r w:rsidRPr="00811276">
        <w:rPr>
          <w:rFonts w:asciiTheme="minorHAnsi" w:eastAsia="Times New Roman" w:hAnsiTheme="minorHAnsi" w:cs="Arial"/>
          <w:sz w:val="22"/>
          <w:szCs w:val="22"/>
          <w:lang w:eastAsia="en-US"/>
        </w:rPr>
        <w:t xml:space="preserve"> V.V.: Pinitol- a new anti-diabetic from the leaves of Bougainvillea Spectabilis, In: Curr. Sci. 56, pp. 139-141</w:t>
      </w:r>
    </w:p>
    <w:p w14:paraId="71C7E2C0" w14:textId="77777777" w:rsidR="00811276" w:rsidRPr="00811276" w:rsidRDefault="00811276" w:rsidP="00811276">
      <w:pPr>
        <w:spacing w:after="200" w:line="276" w:lineRule="auto"/>
        <w:rPr>
          <w:rFonts w:asciiTheme="minorHAnsi" w:eastAsiaTheme="minorHAnsi" w:hAnsiTheme="minorHAnsi" w:cstheme="minorBidi"/>
          <w:sz w:val="22"/>
          <w:szCs w:val="22"/>
          <w:lang w:eastAsia="en-US"/>
        </w:rPr>
      </w:pPr>
    </w:p>
    <w:p w14:paraId="1C52C189" w14:textId="77777777" w:rsidR="00811276" w:rsidRPr="00811276" w:rsidRDefault="00811276" w:rsidP="00811276">
      <w:pPr>
        <w:spacing w:after="200" w:line="276" w:lineRule="auto"/>
        <w:rPr>
          <w:rFonts w:asciiTheme="minorHAnsi" w:eastAsiaTheme="minorHAnsi" w:hAnsiTheme="minorHAnsi" w:cstheme="minorBidi"/>
          <w:b/>
          <w:sz w:val="28"/>
          <w:szCs w:val="28"/>
          <w:u w:val="single"/>
          <w:lang w:eastAsia="en-US"/>
        </w:rPr>
      </w:pPr>
    </w:p>
    <w:p w14:paraId="2DD759E5" w14:textId="77777777" w:rsidR="00811276" w:rsidRPr="00811276" w:rsidRDefault="00811276" w:rsidP="00811276">
      <w:pPr>
        <w:spacing w:after="200" w:line="276" w:lineRule="auto"/>
        <w:rPr>
          <w:rFonts w:asciiTheme="minorHAnsi" w:eastAsiaTheme="minorHAnsi" w:hAnsiTheme="minorHAnsi" w:cstheme="minorBidi"/>
          <w:b/>
          <w:sz w:val="28"/>
          <w:szCs w:val="28"/>
          <w:u w:val="single"/>
          <w:lang w:eastAsia="en-US"/>
        </w:rPr>
      </w:pPr>
    </w:p>
    <w:p w14:paraId="39A077B7" w14:textId="77777777" w:rsidR="00811276" w:rsidRPr="00811276" w:rsidRDefault="00811276" w:rsidP="00811276">
      <w:pPr>
        <w:spacing w:after="200" w:line="276" w:lineRule="auto"/>
        <w:rPr>
          <w:rFonts w:asciiTheme="minorHAnsi" w:eastAsiaTheme="minorHAnsi" w:hAnsiTheme="minorHAnsi" w:cstheme="minorBidi"/>
          <w:b/>
          <w:sz w:val="28"/>
          <w:szCs w:val="28"/>
          <w:u w:val="single"/>
          <w:lang w:eastAsia="en-US"/>
        </w:rPr>
      </w:pPr>
    </w:p>
    <w:p w14:paraId="5C1D72EF" w14:textId="77777777" w:rsidR="00811276" w:rsidRPr="00811276" w:rsidRDefault="00811276" w:rsidP="00811276">
      <w:pPr>
        <w:spacing w:after="200" w:line="276" w:lineRule="auto"/>
        <w:rPr>
          <w:rFonts w:asciiTheme="minorHAnsi" w:eastAsiaTheme="minorHAnsi" w:hAnsiTheme="minorHAnsi" w:cstheme="minorBidi"/>
          <w:b/>
          <w:sz w:val="28"/>
          <w:szCs w:val="28"/>
          <w:u w:val="single"/>
          <w:lang w:eastAsia="en-US"/>
        </w:rPr>
      </w:pPr>
    </w:p>
    <w:p w14:paraId="70CF114A" w14:textId="77777777" w:rsidR="00811276" w:rsidRPr="00811276" w:rsidRDefault="00811276" w:rsidP="00811276">
      <w:pPr>
        <w:spacing w:after="200" w:line="276" w:lineRule="auto"/>
        <w:rPr>
          <w:rFonts w:asciiTheme="minorHAnsi" w:eastAsiaTheme="minorHAnsi" w:hAnsiTheme="minorHAnsi" w:cstheme="minorBidi"/>
          <w:b/>
          <w:sz w:val="28"/>
          <w:szCs w:val="28"/>
          <w:u w:val="single"/>
          <w:lang w:eastAsia="en-US"/>
        </w:rPr>
      </w:pPr>
      <w:r w:rsidRPr="00811276">
        <w:rPr>
          <w:rFonts w:asciiTheme="minorHAnsi" w:eastAsiaTheme="minorHAnsi" w:hAnsiTheme="minorHAnsi" w:cstheme="minorBidi"/>
          <w:b/>
          <w:sz w:val="28"/>
          <w:szCs w:val="28"/>
          <w:u w:val="single"/>
          <w:lang w:eastAsia="en-US"/>
        </w:rPr>
        <w:t>Additional Health Benefits Associated With Honeybush:</w:t>
      </w:r>
    </w:p>
    <w:p w14:paraId="52D73540"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The San People were attuned to the plant kingdom that surrounded them and passed their knowledge on to European Settlers. They too discovered that this delicately-flavoured, aromatic tea held health-promoting powers and so used it to treat common ailments, including sleeplessness and indigestion. </w:t>
      </w:r>
    </w:p>
    <w:p w14:paraId="2522AB59"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lastRenderedPageBreak/>
        <w:t>One of the greatest health benefits is that Honeybush tea is naturally caffeine-free. In addition, Honeybush tea is known to have numerous other health benefits: it is low in tannin, stimulates milk production in nursing mothers, acts as an expectorant and an antioxidant, possesses antiviral, anti-inflammatory and anti-carcinogenic properties, and heals minor skin ailments.</w:t>
      </w:r>
    </w:p>
    <w:p w14:paraId="3E1439AB"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Breast cancer is the most diagnosed form of cancer among women and responsible for the most cancer-related deaths among women. However, in the near future Fynbos could help curb it, says Dr Koch Visser of the Department of Biochemistry at Stellenbosch University (SU). </w:t>
      </w:r>
    </w:p>
    <w:p w14:paraId="28F521C6"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In a recent doctoral study at SU, he found that the Fynbos plant, Cyclopia, used to make honey bush tea, may help stop the development of breast cancer. Visser specifically looked at the effect of Cyclopia extracts on breast cancer cells to figure out the possible molecular mechanism behind this effect. He used tissue culture techniques to test the effect of extracts obtained from dried plant material. With tissue culture, commercially available cancer cells, grown in a laboratory and able to multiply indefinitely, are used for testing. According to Visser, tissue culture is particularly useful to figure out molecular mechanisms because it is easier to manipulate. He adds that it also serves as a form of control because researchers at other institutions use the same cells and results are therefore comparable.</w:t>
      </w:r>
    </w:p>
    <w:p w14:paraId="5F1D7BCC"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 "We found that Cyclopia extracts prevent the </w:t>
      </w:r>
      <w:proofErr w:type="spellStart"/>
      <w:r w:rsidRPr="00811276">
        <w:rPr>
          <w:rFonts w:asciiTheme="minorHAnsi" w:eastAsiaTheme="minorHAnsi" w:hAnsiTheme="minorHAnsi" w:cs="Times New Roman"/>
          <w:sz w:val="22"/>
          <w:szCs w:val="22"/>
          <w:lang w:eastAsia="en-US"/>
        </w:rPr>
        <w:t>estrogen</w:t>
      </w:r>
      <w:proofErr w:type="spellEnd"/>
      <w:r w:rsidRPr="00811276">
        <w:rPr>
          <w:rFonts w:asciiTheme="minorHAnsi" w:eastAsiaTheme="minorHAnsi" w:hAnsiTheme="minorHAnsi" w:cs="Times New Roman"/>
          <w:sz w:val="22"/>
          <w:szCs w:val="22"/>
          <w:lang w:eastAsia="en-US"/>
        </w:rPr>
        <w:t xml:space="preserve">-induced growth of breast cancer cells by targeting and inhibiting </w:t>
      </w:r>
      <w:proofErr w:type="spellStart"/>
      <w:r w:rsidRPr="00811276">
        <w:rPr>
          <w:rFonts w:asciiTheme="minorHAnsi" w:eastAsiaTheme="minorHAnsi" w:hAnsiTheme="minorHAnsi" w:cs="Times New Roman"/>
          <w:sz w:val="22"/>
          <w:szCs w:val="22"/>
          <w:lang w:eastAsia="en-US"/>
        </w:rPr>
        <w:t>estrogen</w:t>
      </w:r>
      <w:proofErr w:type="spellEnd"/>
      <w:r w:rsidRPr="00811276">
        <w:rPr>
          <w:rFonts w:asciiTheme="minorHAnsi" w:eastAsiaTheme="minorHAnsi" w:hAnsiTheme="minorHAnsi" w:cs="Times New Roman"/>
          <w:sz w:val="22"/>
          <w:szCs w:val="22"/>
          <w:lang w:eastAsia="en-US"/>
        </w:rPr>
        <w:t xml:space="preserve"> receptor subtypes that promote the growth of these cells," says Visser.</w:t>
      </w:r>
    </w:p>
    <w:p w14:paraId="09233D45"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 </w:t>
      </w:r>
      <w:proofErr w:type="spellStart"/>
      <w:r w:rsidRPr="00811276">
        <w:rPr>
          <w:rFonts w:asciiTheme="minorHAnsi" w:eastAsiaTheme="minorHAnsi" w:hAnsiTheme="minorHAnsi" w:cs="Times New Roman"/>
          <w:sz w:val="22"/>
          <w:szCs w:val="22"/>
          <w:lang w:eastAsia="en-US"/>
        </w:rPr>
        <w:t>Estrogen</w:t>
      </w:r>
      <w:proofErr w:type="spellEnd"/>
      <w:r w:rsidRPr="00811276">
        <w:rPr>
          <w:rFonts w:asciiTheme="minorHAnsi" w:eastAsiaTheme="minorHAnsi" w:hAnsiTheme="minorHAnsi" w:cs="Times New Roman"/>
          <w:sz w:val="22"/>
          <w:szCs w:val="22"/>
          <w:lang w:eastAsia="en-US"/>
        </w:rPr>
        <w:t>, the female hormone, performs its physiological function through these receptor subtypes.</w:t>
      </w:r>
    </w:p>
    <w:p w14:paraId="27F232B8"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 "The fact that Cyclopia extracts target the receptor subtypes sheds light on the possible mechanism by which the extracts regulate the growth of breast cancer cells," says Visser. "I'm particularly excited about the discovery that Cyclopia extracts are absorbed through the digestive tract, while remaining nontoxic even at high concentrations. Also, the extracts do not stimulate the growth of the uterus." </w:t>
      </w:r>
    </w:p>
    <w:p w14:paraId="11908E98"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Visser says this finding is important because several studies have shown that certain drugs used to treat breast cancer increase the risk of cancer of the uterus. </w:t>
      </w:r>
    </w:p>
    <w:p w14:paraId="71BB1736"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"There's a possibility that this research could offer respite to women who may be diagnosed with breast cancer in future, especially considering the global need to better understand the development and progression of this disease in order to treat it effectively." </w:t>
      </w:r>
    </w:p>
    <w:p w14:paraId="31766316"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Visser says Cyclopia, which is freely available and sold commercially as Honeybush, contains active compounds or "plant </w:t>
      </w:r>
      <w:proofErr w:type="spellStart"/>
      <w:r w:rsidRPr="00811276">
        <w:rPr>
          <w:rFonts w:asciiTheme="minorHAnsi" w:eastAsiaTheme="minorHAnsi" w:hAnsiTheme="minorHAnsi" w:cs="Times New Roman"/>
          <w:sz w:val="22"/>
          <w:szCs w:val="22"/>
          <w:lang w:eastAsia="en-US"/>
        </w:rPr>
        <w:t>estrogens</w:t>
      </w:r>
      <w:proofErr w:type="spellEnd"/>
      <w:r w:rsidRPr="00811276">
        <w:rPr>
          <w:rFonts w:asciiTheme="minorHAnsi" w:eastAsiaTheme="minorHAnsi" w:hAnsiTheme="minorHAnsi" w:cs="Times New Roman"/>
          <w:sz w:val="22"/>
          <w:szCs w:val="22"/>
          <w:lang w:eastAsia="en-US"/>
        </w:rPr>
        <w:t xml:space="preserve">" that can mimic or counter the effect of our own hormones. He </w:t>
      </w:r>
      <w:r w:rsidRPr="00811276">
        <w:rPr>
          <w:rFonts w:asciiTheme="minorHAnsi" w:eastAsiaTheme="minorHAnsi" w:hAnsiTheme="minorHAnsi" w:cs="Times New Roman"/>
          <w:sz w:val="22"/>
          <w:szCs w:val="22"/>
          <w:lang w:eastAsia="en-US"/>
        </w:rPr>
        <w:lastRenderedPageBreak/>
        <w:t xml:space="preserve">emphasises the importance of identifying these active compound (s) so that intake can be regulated and consumers can know they are using the right dosage of the active ingredients. </w:t>
      </w:r>
    </w:p>
    <w:p w14:paraId="25C40F32"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"At this stage, it is still too early to say with certainty what the final form of the medicine made from Cyclopia will be and how often it will have to be used." Visser says women aged 50 and older may benefit from research on Cyclopia because they have a greater chance of developing breast cancer. </w:t>
      </w:r>
    </w:p>
    <w:p w14:paraId="6D87C096"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They are also more likely to use hormone replacement therapy because the natural production of </w:t>
      </w:r>
      <w:proofErr w:type="spellStart"/>
      <w:r w:rsidRPr="00811276">
        <w:rPr>
          <w:rFonts w:asciiTheme="minorHAnsi" w:eastAsiaTheme="minorHAnsi" w:hAnsiTheme="minorHAnsi" w:cs="Times New Roman"/>
          <w:sz w:val="22"/>
          <w:szCs w:val="22"/>
          <w:lang w:eastAsia="en-US"/>
        </w:rPr>
        <w:t>estrogen</w:t>
      </w:r>
      <w:proofErr w:type="spellEnd"/>
      <w:r w:rsidRPr="00811276">
        <w:rPr>
          <w:rFonts w:asciiTheme="minorHAnsi" w:eastAsiaTheme="minorHAnsi" w:hAnsiTheme="minorHAnsi" w:cs="Times New Roman"/>
          <w:sz w:val="22"/>
          <w:szCs w:val="22"/>
          <w:lang w:eastAsia="en-US"/>
        </w:rPr>
        <w:t xml:space="preserve"> decreases dramatically during menopause, he adds. "While hormone replacement therapy is usually prescribed for the treatment of symptoms associated with menopause, it can contribute to the development of breast cancer." </w:t>
      </w:r>
    </w:p>
    <w:p w14:paraId="0BF42904"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Visser notes that Cyclopia extracts may be used as an alternative to traditional hormone replacement therapy. Although the results of his study seem promising, Visser says that this type of research is still in its infancy. "We are confident that we are on the right track and that we can contribute to the pool of knowledge about how breast cancer develops." </w:t>
      </w:r>
    </w:p>
    <w:p w14:paraId="30D62EEF" w14:textId="77777777" w:rsidR="00811276" w:rsidRPr="00811276" w:rsidRDefault="00811276" w:rsidP="00811276">
      <w:pPr>
        <w:spacing w:before="100" w:beforeAutospacing="1" w:after="100" w:afterAutospacing="1" w:line="276" w:lineRule="auto"/>
        <w:rPr>
          <w:rFonts w:asciiTheme="minorHAnsi" w:eastAsiaTheme="minorHAnsi" w:hAnsiTheme="minorHAnsi" w:cs="Times New Roman"/>
          <w:sz w:val="22"/>
          <w:szCs w:val="22"/>
          <w:lang w:eastAsia="en-US"/>
        </w:rPr>
      </w:pPr>
      <w:r w:rsidRPr="00811276">
        <w:rPr>
          <w:rFonts w:asciiTheme="minorHAnsi" w:eastAsiaTheme="minorHAnsi" w:hAnsiTheme="minorHAnsi" w:cs="Times New Roman"/>
          <w:sz w:val="22"/>
          <w:szCs w:val="22"/>
          <w:lang w:eastAsia="en-US"/>
        </w:rPr>
        <w:t xml:space="preserve">Visser says research at other institutions such as the Medical Research Council, Cape Peninsula University of Technology, North-West University, and the University of the Western Cape has shown that Cyclopia extracts may also help against skin, liver and oesophagus cancer. </w:t>
      </w:r>
    </w:p>
    <w:p w14:paraId="23D34E4F" w14:textId="77777777" w:rsidR="00811276" w:rsidRPr="00811276" w:rsidRDefault="00811276" w:rsidP="00811276">
      <w:pPr>
        <w:spacing w:after="200" w:line="276" w:lineRule="auto"/>
        <w:rPr>
          <w:rFonts w:asciiTheme="minorHAnsi" w:eastAsiaTheme="minorHAnsi" w:hAnsiTheme="minorHAnsi" w:cstheme="minorBidi"/>
          <w:sz w:val="22"/>
          <w:szCs w:val="22"/>
          <w:lang w:eastAsia="en-US"/>
        </w:rPr>
      </w:pPr>
    </w:p>
    <w:p w14:paraId="3B50252D" w14:textId="15B4F068" w:rsidR="00540E70" w:rsidRPr="00E60409" w:rsidRDefault="00540E70" w:rsidP="00E60409"/>
    <w:sectPr w:rsidR="00540E70" w:rsidRPr="00E60409" w:rsidSect="00C6657A">
      <w:headerReference w:type="default" r:id="rId10"/>
      <w:footerReference w:type="default" r:id="rId11"/>
      <w:pgSz w:w="11900" w:h="16840"/>
      <w:pgMar w:top="1440" w:right="1440" w:bottom="1440" w:left="1440" w:header="708" w:footer="3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EDE89" w14:textId="77777777" w:rsidR="0028187E" w:rsidRDefault="0028187E">
      <w:r>
        <w:separator/>
      </w:r>
    </w:p>
  </w:endnote>
  <w:endnote w:type="continuationSeparator" w:id="0">
    <w:p w14:paraId="01D43471" w14:textId="77777777" w:rsidR="0028187E" w:rsidRDefault="0028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AA57C2-DC06-4731-AE2F-8DF1BB8BA3C8}"/>
    <w:embedBold r:id="rId2" w:fontKey="{BAE6B3DC-7F4F-499F-A5DC-4B8B2804795B}"/>
    <w:embedItalic r:id="rId3" w:fontKey="{D3EAEC04-F5A1-4DC5-8EEC-ACC48053A8E8}"/>
  </w:font>
  <w:font w:name="Georgia">
    <w:panose1 w:val="02040502050405020303"/>
    <w:charset w:val="00"/>
    <w:family w:val="roman"/>
    <w:pitch w:val="variable"/>
    <w:sig w:usb0="00000287" w:usb1="00000000" w:usb2="00000000" w:usb3="00000000" w:csb0="0000009F" w:csb1="00000000"/>
    <w:embedRegular r:id="rId4" w:fontKey="{FCCEA2BC-D823-4A42-9B9E-67B856E55039}"/>
    <w:embedItalic r:id="rId5" w:fontKey="{DA316939-F5E2-4FCA-8672-7BB17FDE7B9E}"/>
  </w:font>
  <w:font w:name="Arial">
    <w:panose1 w:val="020B0604020202020204"/>
    <w:charset w:val="00"/>
    <w:family w:val="swiss"/>
    <w:pitch w:val="variable"/>
    <w:sig w:usb0="E0002EFF" w:usb1="C000785B" w:usb2="00000009" w:usb3="00000000" w:csb0="000001FF" w:csb1="00000000"/>
  </w:font>
  <w:font w:name="Lora Medium">
    <w:charset w:val="00"/>
    <w:family w:val="auto"/>
    <w:pitch w:val="variable"/>
    <w:sig w:usb0="A00002FF" w:usb1="5000204B" w:usb2="00000000" w:usb3="00000000" w:csb0="00000097" w:csb1="00000000"/>
    <w:embedRegular r:id="rId6" w:fontKey="{3C40F51F-2A82-4D8B-8528-F7F57BF1B515}"/>
  </w:font>
  <w:font w:name="Poppins Light">
    <w:charset w:val="00"/>
    <w:family w:val="auto"/>
    <w:pitch w:val="variable"/>
    <w:sig w:usb0="00008007" w:usb1="00000000" w:usb2="00000000" w:usb3="00000000" w:csb0="00000093" w:csb1="00000000"/>
    <w:embedRegular r:id="rId7" w:fontKey="{7CEDD526-6E52-444F-BB82-5B07BFEB0AB6}"/>
  </w:font>
  <w:font w:name="Calibri Light">
    <w:panose1 w:val="020F0302020204030204"/>
    <w:charset w:val="00"/>
    <w:family w:val="swiss"/>
    <w:pitch w:val="variable"/>
    <w:sig w:usb0="E4002EFF" w:usb1="C200247B" w:usb2="00000009" w:usb3="00000000" w:csb0="000001FF" w:csb1="00000000"/>
    <w:embedRegular r:id="rId8" w:fontKey="{71D6B876-C7EC-4E0C-9F58-C1320B1810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EDF3" w14:textId="77777777" w:rsidR="009C1B8C" w:rsidRDefault="003D6C9F">
    <w:pPr>
      <w:pBdr>
        <w:top w:val="nil"/>
        <w:left w:val="nil"/>
        <w:bottom w:val="nil"/>
        <w:right w:val="nil"/>
        <w:between w:val="nil"/>
      </w:pBdr>
      <w:tabs>
        <w:tab w:val="center" w:pos="4680"/>
        <w:tab w:val="right" w:pos="9360"/>
      </w:tabs>
      <w:spacing w:before="200" w:line="276" w:lineRule="auto"/>
      <w:jc w:val="center"/>
      <w:rPr>
        <w:rFonts w:ascii="Lora Medium" w:eastAsia="Lora Medium" w:hAnsi="Lora Medium" w:cs="Lora Medium"/>
        <w:color w:val="B15533"/>
        <w:sz w:val="20"/>
        <w:szCs w:val="20"/>
      </w:rPr>
    </w:pPr>
    <w:r>
      <w:rPr>
        <w:rFonts w:ascii="Lora Medium" w:eastAsia="Lora Medium" w:hAnsi="Lora Medium" w:cs="Lora Medium"/>
        <w:color w:val="B15533"/>
        <w:sz w:val="20"/>
        <w:szCs w:val="20"/>
      </w:rPr>
      <w:t>The Honeybush Company (Pty) Ltd</w:t>
    </w:r>
  </w:p>
  <w:p w14:paraId="31434C2F" w14:textId="77777777" w:rsidR="009C1B8C" w:rsidRDefault="003D6C9F">
    <w:pPr>
      <w:pBdr>
        <w:top w:val="nil"/>
        <w:left w:val="nil"/>
        <w:bottom w:val="nil"/>
        <w:right w:val="nil"/>
        <w:between w:val="nil"/>
      </w:pBdr>
      <w:tabs>
        <w:tab w:val="center" w:pos="4680"/>
        <w:tab w:val="right" w:pos="9360"/>
      </w:tabs>
      <w:spacing w:line="276" w:lineRule="auto"/>
      <w:jc w:val="center"/>
      <w:rPr>
        <w:rFonts w:ascii="Poppins Light" w:eastAsia="Poppins Light" w:hAnsi="Poppins Light" w:cs="Poppins Light"/>
        <w:color w:val="B15533"/>
        <w:sz w:val="17"/>
        <w:szCs w:val="17"/>
      </w:rPr>
    </w:pPr>
    <w:r>
      <w:rPr>
        <w:rFonts w:ascii="Poppins Light" w:eastAsia="Poppins Light" w:hAnsi="Poppins Light" w:cs="Poppins Light"/>
        <w:color w:val="B15533"/>
        <w:sz w:val="17"/>
        <w:szCs w:val="17"/>
      </w:rPr>
      <w:t>Registration Number: 2017 / 514584 / 07 | VAT Number: 4110291251</w:t>
    </w:r>
  </w:p>
  <w:p w14:paraId="7DCE76CB" w14:textId="77777777" w:rsidR="009C1B8C" w:rsidRDefault="003D6C9F">
    <w:pPr>
      <w:pBdr>
        <w:top w:val="nil"/>
        <w:left w:val="nil"/>
        <w:bottom w:val="nil"/>
        <w:right w:val="nil"/>
        <w:between w:val="nil"/>
      </w:pBdr>
      <w:tabs>
        <w:tab w:val="center" w:pos="4680"/>
        <w:tab w:val="right" w:pos="9360"/>
      </w:tabs>
      <w:spacing w:line="276" w:lineRule="auto"/>
      <w:jc w:val="center"/>
      <w:rPr>
        <w:rFonts w:ascii="Poppins Light" w:eastAsia="Poppins Light" w:hAnsi="Poppins Light" w:cs="Poppins Light"/>
        <w:color w:val="B15533"/>
        <w:sz w:val="17"/>
        <w:szCs w:val="17"/>
      </w:rPr>
    </w:pPr>
    <w:r>
      <w:rPr>
        <w:rFonts w:ascii="Poppins Light" w:eastAsia="Poppins Light" w:hAnsi="Poppins Light" w:cs="Poppins Light"/>
        <w:color w:val="B15533"/>
        <w:sz w:val="17"/>
        <w:szCs w:val="17"/>
      </w:rPr>
      <w:t>Suite 2, Unit A407, The Woodstock Exchange, 66 Albert Road,</w:t>
    </w:r>
  </w:p>
  <w:p w14:paraId="74B05423" w14:textId="77777777" w:rsidR="009C1B8C" w:rsidRDefault="003D6C9F">
    <w:pPr>
      <w:pBdr>
        <w:top w:val="nil"/>
        <w:left w:val="nil"/>
        <w:bottom w:val="nil"/>
        <w:right w:val="nil"/>
        <w:between w:val="nil"/>
      </w:pBdr>
      <w:tabs>
        <w:tab w:val="center" w:pos="4680"/>
        <w:tab w:val="right" w:pos="9360"/>
      </w:tabs>
      <w:spacing w:line="276" w:lineRule="auto"/>
      <w:jc w:val="center"/>
      <w:rPr>
        <w:rFonts w:ascii="Poppins Light" w:eastAsia="Poppins Light" w:hAnsi="Poppins Light" w:cs="Poppins Light"/>
        <w:color w:val="B15533"/>
        <w:sz w:val="17"/>
        <w:szCs w:val="17"/>
      </w:rPr>
    </w:pPr>
    <w:r>
      <w:rPr>
        <w:rFonts w:ascii="Poppins Light" w:eastAsia="Poppins Light" w:hAnsi="Poppins Light" w:cs="Poppins Light"/>
        <w:color w:val="B15533"/>
        <w:sz w:val="17"/>
        <w:szCs w:val="17"/>
      </w:rPr>
      <w:t>Woodstock, Cape Town, Western Cape, 7925</w:t>
    </w:r>
  </w:p>
  <w:p w14:paraId="2B98AF70" w14:textId="77777777" w:rsidR="009C1B8C" w:rsidRDefault="003D6C9F">
    <w:pPr>
      <w:pBdr>
        <w:top w:val="nil"/>
        <w:left w:val="nil"/>
        <w:bottom w:val="nil"/>
        <w:right w:val="nil"/>
        <w:between w:val="nil"/>
      </w:pBdr>
      <w:tabs>
        <w:tab w:val="center" w:pos="4680"/>
        <w:tab w:val="right" w:pos="9360"/>
      </w:tabs>
      <w:spacing w:line="276" w:lineRule="auto"/>
      <w:jc w:val="center"/>
      <w:rPr>
        <w:rFonts w:ascii="Lora Medium" w:eastAsia="Lora Medium" w:hAnsi="Lora Medium" w:cs="Lora Medium"/>
        <w:color w:val="B15533"/>
        <w:sz w:val="17"/>
        <w:szCs w:val="17"/>
      </w:rPr>
    </w:pPr>
    <w:r>
      <w:rPr>
        <w:rFonts w:ascii="Lora Medium" w:eastAsia="Lora Medium" w:hAnsi="Lora Medium" w:cs="Lora Medium"/>
        <w:color w:val="B15533"/>
        <w:sz w:val="17"/>
        <w:szCs w:val="17"/>
      </w:rPr>
      <w:t>www.thehoneybushco.com</w:t>
    </w:r>
  </w:p>
  <w:p w14:paraId="1B8F24BF" w14:textId="77777777" w:rsidR="009C1B8C" w:rsidRDefault="003D6C9F">
    <w:pPr>
      <w:pBdr>
        <w:top w:val="nil"/>
        <w:left w:val="nil"/>
        <w:bottom w:val="nil"/>
        <w:right w:val="nil"/>
        <w:between w:val="nil"/>
      </w:pBdr>
      <w:tabs>
        <w:tab w:val="center" w:pos="4680"/>
        <w:tab w:val="right" w:pos="9360"/>
      </w:tabs>
      <w:jc w:val="right"/>
      <w:rPr>
        <w:rFonts w:ascii="Poppins Light" w:eastAsia="Poppins Light" w:hAnsi="Poppins Light" w:cs="Poppins Light"/>
        <w:color w:val="7C3A2D"/>
        <w:sz w:val="17"/>
        <w:szCs w:val="17"/>
      </w:rPr>
    </w:pPr>
    <w:r>
      <w:rPr>
        <w:rFonts w:ascii="Poppins Light" w:eastAsia="Poppins Light" w:hAnsi="Poppins Light" w:cs="Poppins Light"/>
        <w:color w:val="7C3A2D"/>
        <w:sz w:val="17"/>
        <w:szCs w:val="17"/>
      </w:rPr>
      <w:fldChar w:fldCharType="begin"/>
    </w:r>
    <w:r>
      <w:rPr>
        <w:rFonts w:ascii="Poppins Light" w:eastAsia="Poppins Light" w:hAnsi="Poppins Light" w:cs="Poppins Light"/>
        <w:color w:val="7C3A2D"/>
        <w:sz w:val="17"/>
        <w:szCs w:val="17"/>
      </w:rPr>
      <w:instrText>PAGE</w:instrText>
    </w:r>
    <w:r>
      <w:rPr>
        <w:rFonts w:ascii="Poppins Light" w:eastAsia="Poppins Light" w:hAnsi="Poppins Light" w:cs="Poppins Light"/>
        <w:color w:val="7C3A2D"/>
        <w:sz w:val="17"/>
        <w:szCs w:val="17"/>
      </w:rPr>
      <w:fldChar w:fldCharType="separate"/>
    </w:r>
    <w:r w:rsidR="003F427E">
      <w:rPr>
        <w:rFonts w:ascii="Poppins Light" w:eastAsia="Poppins Light" w:hAnsi="Poppins Light" w:cs="Poppins Light"/>
        <w:noProof/>
        <w:color w:val="7C3A2D"/>
        <w:sz w:val="17"/>
        <w:szCs w:val="17"/>
      </w:rPr>
      <w:t>1</w:t>
    </w:r>
    <w:r>
      <w:rPr>
        <w:rFonts w:ascii="Poppins Light" w:eastAsia="Poppins Light" w:hAnsi="Poppins Light" w:cs="Poppins Light"/>
        <w:color w:val="7C3A2D"/>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CA0C8" w14:textId="77777777" w:rsidR="0028187E" w:rsidRDefault="0028187E">
      <w:r>
        <w:separator/>
      </w:r>
    </w:p>
  </w:footnote>
  <w:footnote w:type="continuationSeparator" w:id="0">
    <w:p w14:paraId="37FFA4B7" w14:textId="77777777" w:rsidR="0028187E" w:rsidRDefault="00281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064C" w14:textId="77777777" w:rsidR="009C1B8C" w:rsidRDefault="003D6C9F">
    <w:pPr>
      <w:pBdr>
        <w:top w:val="nil"/>
        <w:left w:val="nil"/>
        <w:bottom w:val="nil"/>
        <w:right w:val="nil"/>
        <w:between w:val="nil"/>
      </w:pBdr>
      <w:tabs>
        <w:tab w:val="center" w:pos="4680"/>
        <w:tab w:val="right" w:pos="9360"/>
      </w:tabs>
    </w:pPr>
    <w:r>
      <w:rPr>
        <w:noProof/>
      </w:rPr>
      <w:drawing>
        <wp:anchor distT="0" distB="0" distL="0" distR="0" simplePos="0" relativeHeight="251658240" behindDoc="1" locked="0" layoutInCell="1" hidden="0" allowOverlap="1" wp14:anchorId="514991D1" wp14:editId="07D03C79">
          <wp:simplePos x="0" y="0"/>
          <wp:positionH relativeFrom="page">
            <wp:posOffset>254000</wp:posOffset>
          </wp:positionH>
          <wp:positionV relativeFrom="page">
            <wp:posOffset>6350</wp:posOffset>
          </wp:positionV>
          <wp:extent cx="6908800" cy="1517015"/>
          <wp:effectExtent l="0" t="0" r="0" b="0"/>
          <wp:wrapNone/>
          <wp:docPr id="2142253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11434" cy="1517593"/>
                  </a:xfrm>
                  <a:prstGeom prst="rect">
                    <a:avLst/>
                  </a:prstGeom>
                  <a:ln/>
                </pic:spPr>
              </pic:pic>
            </a:graphicData>
          </a:graphic>
          <wp14:sizeRelH relativeFrom="margin">
            <wp14:pctWidth>0</wp14:pctWidth>
          </wp14:sizeRelH>
          <wp14:sizeRelV relativeFrom="margin">
            <wp14:pctHeight>0</wp14:pctHeight>
          </wp14:sizeRelV>
        </wp:anchor>
      </w:drawing>
    </w:r>
  </w:p>
  <w:p w14:paraId="030F702C" w14:textId="77777777" w:rsidR="009C1B8C" w:rsidRDefault="009C1B8C">
    <w:pPr>
      <w:pBdr>
        <w:top w:val="nil"/>
        <w:left w:val="nil"/>
        <w:bottom w:val="nil"/>
        <w:right w:val="nil"/>
        <w:between w:val="nil"/>
      </w:pBdr>
      <w:tabs>
        <w:tab w:val="center" w:pos="4680"/>
        <w:tab w:val="right" w:pos="9360"/>
      </w:tabs>
    </w:pPr>
  </w:p>
  <w:p w14:paraId="024F044E" w14:textId="77777777" w:rsidR="009C1B8C" w:rsidRDefault="009C1B8C">
    <w:pPr>
      <w:pBdr>
        <w:top w:val="nil"/>
        <w:left w:val="nil"/>
        <w:bottom w:val="nil"/>
        <w:right w:val="nil"/>
        <w:between w:val="nil"/>
      </w:pBdr>
      <w:tabs>
        <w:tab w:val="center" w:pos="4680"/>
        <w:tab w:val="right" w:pos="9360"/>
      </w:tabs>
    </w:pPr>
  </w:p>
  <w:p w14:paraId="2C64E048" w14:textId="77777777" w:rsidR="009C1B8C" w:rsidRDefault="009C1B8C">
    <w:pPr>
      <w:pBdr>
        <w:top w:val="nil"/>
        <w:left w:val="nil"/>
        <w:bottom w:val="nil"/>
        <w:right w:val="nil"/>
        <w:between w:val="nil"/>
      </w:pBdr>
      <w:tabs>
        <w:tab w:val="center" w:pos="4680"/>
        <w:tab w:val="right" w:pos="9360"/>
      </w:tabs>
    </w:pPr>
  </w:p>
  <w:p w14:paraId="34FD009F" w14:textId="77777777" w:rsidR="009C1B8C" w:rsidRDefault="009C1B8C">
    <w:pPr>
      <w:pBdr>
        <w:top w:val="nil"/>
        <w:left w:val="nil"/>
        <w:bottom w:val="nil"/>
        <w:right w:val="nil"/>
        <w:between w:val="nil"/>
      </w:pBdr>
      <w:tabs>
        <w:tab w:val="center" w:pos="4680"/>
        <w:tab w:val="right" w:pos="9360"/>
      </w:tabs>
    </w:pPr>
  </w:p>
  <w:p w14:paraId="381E7597" w14:textId="77777777" w:rsidR="009C1B8C" w:rsidRDefault="009C1B8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2660"/>
    <w:multiLevelType w:val="multilevel"/>
    <w:tmpl w:val="D072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E06B6"/>
    <w:multiLevelType w:val="multilevel"/>
    <w:tmpl w:val="6AFA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814B5"/>
    <w:multiLevelType w:val="multilevel"/>
    <w:tmpl w:val="0A98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50152"/>
    <w:multiLevelType w:val="multilevel"/>
    <w:tmpl w:val="A752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B60BA"/>
    <w:multiLevelType w:val="multilevel"/>
    <w:tmpl w:val="37C0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80309"/>
    <w:multiLevelType w:val="multilevel"/>
    <w:tmpl w:val="3190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C7128"/>
    <w:multiLevelType w:val="multilevel"/>
    <w:tmpl w:val="AA30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181898">
    <w:abstractNumId w:val="1"/>
  </w:num>
  <w:num w:numId="2" w16cid:durableId="1402942014">
    <w:abstractNumId w:val="5"/>
  </w:num>
  <w:num w:numId="3" w16cid:durableId="835997697">
    <w:abstractNumId w:val="3"/>
  </w:num>
  <w:num w:numId="4" w16cid:durableId="114102494">
    <w:abstractNumId w:val="6"/>
  </w:num>
  <w:num w:numId="5" w16cid:durableId="1297446324">
    <w:abstractNumId w:val="0"/>
  </w:num>
  <w:num w:numId="6" w16cid:durableId="505285167">
    <w:abstractNumId w:val="2"/>
  </w:num>
  <w:num w:numId="7" w16cid:durableId="935987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8C"/>
    <w:rsid w:val="00010B36"/>
    <w:rsid w:val="000761FF"/>
    <w:rsid w:val="000F3261"/>
    <w:rsid w:val="0028187E"/>
    <w:rsid w:val="002F723C"/>
    <w:rsid w:val="0032389A"/>
    <w:rsid w:val="00351742"/>
    <w:rsid w:val="003F427E"/>
    <w:rsid w:val="0040140E"/>
    <w:rsid w:val="0045377B"/>
    <w:rsid w:val="004900EC"/>
    <w:rsid w:val="00540E70"/>
    <w:rsid w:val="00545EA7"/>
    <w:rsid w:val="00811276"/>
    <w:rsid w:val="00822B31"/>
    <w:rsid w:val="0084521D"/>
    <w:rsid w:val="00846D54"/>
    <w:rsid w:val="008C5EF8"/>
    <w:rsid w:val="0098568F"/>
    <w:rsid w:val="009C1B8C"/>
    <w:rsid w:val="00A12CE0"/>
    <w:rsid w:val="00A77BAE"/>
    <w:rsid w:val="00AF61AC"/>
    <w:rsid w:val="00B0346F"/>
    <w:rsid w:val="00B84C04"/>
    <w:rsid w:val="00BF1339"/>
    <w:rsid w:val="00C6657A"/>
    <w:rsid w:val="00C67E7B"/>
    <w:rsid w:val="00CB5C0F"/>
    <w:rsid w:val="00DA2E34"/>
    <w:rsid w:val="00E60409"/>
    <w:rsid w:val="00E63976"/>
    <w:rsid w:val="00E94319"/>
    <w:rsid w:val="00E944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47CFD4"/>
  <w15:docId w15:val="{26FD07AF-396A-482D-8469-6225563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6CAF"/>
    <w:pPr>
      <w:tabs>
        <w:tab w:val="center" w:pos="4680"/>
        <w:tab w:val="right" w:pos="9360"/>
      </w:tabs>
    </w:pPr>
  </w:style>
  <w:style w:type="character" w:customStyle="1" w:styleId="HeaderChar">
    <w:name w:val="Header Char"/>
    <w:basedOn w:val="DefaultParagraphFont"/>
    <w:link w:val="Header"/>
    <w:uiPriority w:val="99"/>
    <w:rsid w:val="00546CAF"/>
  </w:style>
  <w:style w:type="paragraph" w:styleId="Footer">
    <w:name w:val="footer"/>
    <w:basedOn w:val="Normal"/>
    <w:link w:val="FooterChar"/>
    <w:uiPriority w:val="99"/>
    <w:unhideWhenUsed/>
    <w:rsid w:val="00546CAF"/>
    <w:pPr>
      <w:tabs>
        <w:tab w:val="center" w:pos="4680"/>
        <w:tab w:val="right" w:pos="9360"/>
      </w:tabs>
    </w:pPr>
  </w:style>
  <w:style w:type="character" w:customStyle="1" w:styleId="FooterChar">
    <w:name w:val="Footer Char"/>
    <w:basedOn w:val="DefaultParagraphFont"/>
    <w:link w:val="Footer"/>
    <w:uiPriority w:val="99"/>
    <w:rsid w:val="00546CA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oibos.ch/honeybush.html#to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iGndcwzYcT7sa3q3301fXi9H7g==">CgMxLjAyDmguN3h3bmRpcnIzNTVjMg5oLm12aGExYWZrODQzNDIOaC45cmF0emV0cjNrdHUyDmguajNlZmdhcXh0NGF0Mg5oLnBiamJkbHYyc3hmeDgAciExU1dWSWw3N09oSHlVU1lwVzdqWHBybTJjMDVfaE9iWk4=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Sonntagova</dc:creator>
  <cp:lastModifiedBy>Donovan Brunette</cp:lastModifiedBy>
  <cp:revision>2</cp:revision>
  <cp:lastPrinted>2024-03-18T14:44:00Z</cp:lastPrinted>
  <dcterms:created xsi:type="dcterms:W3CDTF">2025-07-31T04:41:00Z</dcterms:created>
  <dcterms:modified xsi:type="dcterms:W3CDTF">2025-07-31T04:41:00Z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c50a4db83f7855bc9cd8439d117dec60cdf7ee6d15ffc7f29b6906c4515e569f</vt:lpwstr>
  </property>
</Properties>
</file>